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eastAsia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/>
          <w:b/>
          <w:bCs/>
          <w:sz w:val="30"/>
          <w:szCs w:val="30"/>
          <w:u w:val="none"/>
          <w:lang w:val="en-US" w:eastAsia="zh-CN"/>
        </w:rPr>
        <w:t>河南分行律师库资格入库项目变更公告02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一、项目基本情况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1、原公告的项目编号：</w:t>
      </w:r>
      <w:r>
        <w:rPr>
          <w:rFonts w:hint="eastAsia" w:hAnsi="宋体"/>
          <w:color w:val="auto"/>
          <w:szCs w:val="21"/>
          <w:highlight w:val="none"/>
          <w:lang w:val="en-US" w:eastAsia="zh-CN"/>
        </w:rPr>
        <w:t>ABC-HN-2022020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2、原公告的项目名称：河南分行律师库资格入库项目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3、首次公告日期及发布媒介：202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《中国招标投标公共服务平台》、《河南省电子招标投标公共服务平台》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4、原投标截止时间(投标文件递交截止时间)：</w:t>
      </w:r>
      <w:r>
        <w:rPr>
          <w:rFonts w:hint="eastAsia" w:ascii="宋体" w:hAnsi="宋体" w:cs="宋体"/>
          <w:color w:val="auto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下午17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cs="宋体"/>
          <w:color w:val="auto"/>
          <w:szCs w:val="21"/>
          <w:highlight w:val="none"/>
        </w:rPr>
        <w:t>分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二、更正信息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更正事项：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√招标公告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22" w:firstLineChars="200"/>
        <w:textAlignment w:val="auto"/>
        <w:outlineLvl w:val="9"/>
        <w:rPr>
          <w:rFonts w:hint="eastAsia" w:ascii="宋体" w:hAnsi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原文件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4.2获取招标文件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4.2.1获取文件时间： 2022年11月14日至2022年11月25日下午17时（北京时间，下同）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五、投标文件的递交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5.1递交时间：2022年12月7日09:00-17：00时（北京时间）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6.1开标时间：1包件2022年12月8日上午10:00时 ， 2-18包件2022年12月8日下午15:00时（北京时间）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变更为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4.2获取招标文件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4.2.1获取文件时间： 2022年11月14日至2022年</w:t>
      </w:r>
      <w:r>
        <w:rPr>
          <w:rFonts w:hint="eastAsia" w:ascii="Calibri" w:hAnsi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12</w:t>
      </w: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月2日下午17时（北京时间，下同）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五、投标文件的递交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5.1递交时间：2022年12月</w:t>
      </w:r>
      <w:r>
        <w:rPr>
          <w:rFonts w:hint="eastAsia" w:ascii="Calibri" w:hAnsi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14</w:t>
      </w: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日09:00-17：00时（北京时间）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六、开标时间及地点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6.1开标时间：1包件2022年12月</w:t>
      </w:r>
      <w:r>
        <w:rPr>
          <w:rFonts w:hint="eastAsia" w:ascii="Calibri" w:hAnsi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15</w:t>
      </w: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日上午10:00时 ， 2-18包件2022年12月</w:t>
      </w:r>
      <w:r>
        <w:rPr>
          <w:rFonts w:hint="eastAsia" w:ascii="Calibri" w:hAnsi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15</w:t>
      </w: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日下午15:00时（北京时间）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三、其他补充事宜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、联系方式</w:t>
      </w:r>
    </w:p>
    <w:p>
      <w:pPr>
        <w:pStyle w:val="20"/>
        <w:snapToGrid w:val="0"/>
        <w:spacing w:line="360" w:lineRule="auto"/>
        <w:ind w:firstLine="420" w:firstLineChars="200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 xml:space="preserve">招标人：中国农业银行股份有限公司河南省分行  </w:t>
      </w:r>
    </w:p>
    <w:p>
      <w:pPr>
        <w:pStyle w:val="20"/>
        <w:snapToGrid w:val="0"/>
        <w:spacing w:line="360" w:lineRule="auto"/>
        <w:ind w:firstLine="420" w:firstLineChars="200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 xml:space="preserve">地  址：郑州市郑东新区商务外环路16号   </w:t>
      </w:r>
    </w:p>
    <w:p>
      <w:pPr>
        <w:pStyle w:val="20"/>
        <w:snapToGrid w:val="0"/>
        <w:spacing w:line="360" w:lineRule="auto"/>
        <w:ind w:firstLine="420" w:firstLineChars="200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 xml:space="preserve">代理机构：河南省伟信招标管理咨询有限公司  </w:t>
      </w:r>
    </w:p>
    <w:p>
      <w:pPr>
        <w:pStyle w:val="20"/>
        <w:snapToGrid w:val="0"/>
        <w:spacing w:line="360" w:lineRule="auto"/>
        <w:ind w:firstLine="420" w:firstLineChars="200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地  址：郑州市郑东新区东风南路与创业路交汇处西南角绿地中心北塔16楼</w:t>
      </w:r>
    </w:p>
    <w:p>
      <w:pPr>
        <w:pStyle w:val="20"/>
        <w:snapToGrid w:val="0"/>
        <w:spacing w:line="360" w:lineRule="auto"/>
        <w:ind w:firstLine="420" w:firstLineChars="200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联系人：祁锐</w:t>
      </w:r>
    </w:p>
    <w:p>
      <w:pPr>
        <w:pStyle w:val="20"/>
        <w:snapToGrid w:val="0"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hAnsi="宋体"/>
          <w:color w:val="auto"/>
          <w:sz w:val="21"/>
          <w:szCs w:val="21"/>
        </w:rPr>
        <w:t>电  话：0371-60936069</w:t>
      </w:r>
      <w:r>
        <w:rPr>
          <w:rFonts w:hint="eastAsia" w:ascii="宋体" w:hAnsi="宋体"/>
        </w:rPr>
        <w:t xml:space="preserve">       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发布日期：2022年11月24日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制件投标文件及投标注意事项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1、律师事务所执业许可证须包含变更信息页及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lang w:val="en-US" w:eastAsia="zh-CN"/>
        </w:rPr>
        <w:t>年检审核页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</w:rPr>
        <w:t>以分所名义投标的，应取得总所的授权委托书并</w:t>
      </w:r>
      <w:r>
        <w:rPr>
          <w:rFonts w:hint="eastAsia" w:ascii="Times New Roman" w:hAnsi="宋体" w:eastAsia="宋体" w:cs="Times New Roman"/>
          <w:b/>
          <w:bCs/>
          <w:color w:val="FF0000"/>
          <w:szCs w:val="21"/>
          <w:highlight w:val="none"/>
        </w:rPr>
        <w:t>承诺对分所的业务经营活动承担民事责任</w:t>
      </w: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3、信用中国</w:t>
      </w:r>
      <w:r>
        <w:rPr>
          <w:rFonts w:hint="eastAsia" w:ascii="宋体" w:hAnsi="宋体" w:cs="宋体"/>
          <w:szCs w:val="21"/>
        </w:rPr>
        <w:t>查询渠道：“信用中国”网站（www.creditchina.gov.cn）</w:t>
      </w:r>
      <w:r>
        <w:rPr>
          <w:rFonts w:hint="eastAsia" w:ascii="宋体" w:hAnsi="宋体" w:cs="宋体"/>
          <w:szCs w:val="21"/>
          <w:lang w:val="en-US" w:eastAsia="zh-CN"/>
        </w:rPr>
        <w:t>--信用服务-失信被执行人、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</w:rPr>
        <w:t>重大税收违法案件当事人名单、政府采购严重违法失信行为</w:t>
      </w:r>
      <w:r>
        <w:rPr>
          <w:rFonts w:hint="eastAsia" w:ascii="Times New Roman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lang w:val="en-US" w:eastAsia="zh-CN"/>
        </w:rPr>
        <w:t>查询截图要包含日期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，可直接截取屏幕右下角时间或右键打印出来再扫描；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4、财务审计报告：《中华人民共和国注册会计师法》规定，提交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lang w:val="en-US" w:eastAsia="zh-CN"/>
        </w:rPr>
        <w:t>完整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有效的财务审计报告。财务审计报告加盖注册会计师印章并由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lang w:val="en-US" w:eastAsia="zh-CN"/>
        </w:rPr>
        <w:t>其本人签名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5、承诺书需包含以下内容：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38" w:firstLineChars="304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5.1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</w:rPr>
        <w:t>截至投标截止日，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</w:rPr>
        <w:t>未被“信用中国”网站（http://www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</w:rPr>
        <w:t>creditchina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</w:rPr>
        <w:t>gov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</w:rPr>
        <w:t>cn）列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38" w:firstLineChars="304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5.2投标人所投产品/服务未被列入《中国农业银行集中采购禁入名录》；供应商法定代表人或单位负责人、授权代表人未被列入《中国农业银行集中采购禁入人员名单》；（提供加盖公章的承诺书）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38" w:firstLineChars="304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5.3投标人法定代表人、控股股东或实际控制人与招标人高管或使用需求部门、采购部门关键岗位人员存在夫妻、直系血亲、三代以内旁系血亲或近姻亲关系，仍参加投标的。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38" w:firstLineChars="304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5.4法定代表人或负责人为同一人或存在控股、管理关系的不同单位，参加采购方同一项目投标的。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38" w:firstLineChars="304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5.5向招标人行贿或者采取其他不正当手段谋取非法利益的。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38" w:firstLineChars="304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5.6本项目不接受联合体投标。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投标人授权代表须为投标人正式员工，须提供授权代理人2022年1月以来在投标单位缴纳的社会保险缴费证明；</w:t>
      </w:r>
    </w:p>
    <w:p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211" w:firstLineChars="100"/>
        <w:jc w:val="left"/>
        <w:textAlignment w:val="auto"/>
        <w:outlineLvl w:val="9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投标文件所符的相关证明材料的扫描件或复印件应清晰可辨，</w:t>
      </w: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>否则产生不利因素由投标人自行承担</w:t>
      </w:r>
      <w:r>
        <w:rPr>
          <w:rFonts w:hint="eastAsia"/>
          <w:b/>
          <w:bCs/>
          <w:color w:val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10" w:firstLineChars="1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请各投标人合理的规划递交投标文件的时间，因递交投标还需填写投标人签到表等资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b/>
          <w:color w:val="FF0000"/>
          <w:kern w:val="0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料，为避免聚集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highlight w:val="yellow"/>
          <w:lang w:val="en-US" w:eastAsia="zh-CN"/>
        </w:rPr>
        <w:t>只允许一名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yellow"/>
          <w:lang w:val="en-US" w:eastAsia="zh-CN"/>
        </w:rPr>
        <w:t>投</w:t>
      </w:r>
      <w:r>
        <w:rPr>
          <w:rFonts w:hint="eastAsia" w:ascii="宋体" w:hAnsi="宋体" w:cs="宋体"/>
          <w:b/>
          <w:color w:val="FF0000"/>
          <w:kern w:val="0"/>
          <w:szCs w:val="21"/>
          <w:highlight w:val="yellow"/>
          <w:lang w:val="en-US" w:eastAsia="zh-CN"/>
        </w:rPr>
        <w:t>标</w:t>
      </w:r>
      <w:r>
        <w:rPr>
          <w:rFonts w:hint="eastAsia" w:ascii="宋体" w:hAnsi="宋体" w:cs="宋体"/>
          <w:b/>
          <w:color w:val="FF0000"/>
          <w:kern w:val="0"/>
          <w:szCs w:val="21"/>
          <w:highlight w:val="yellow"/>
        </w:rPr>
        <w:t>人代表</w:t>
      </w:r>
      <w:r>
        <w:rPr>
          <w:rFonts w:hint="eastAsia" w:ascii="宋体" w:hAnsi="宋体" w:cs="宋体"/>
          <w:b/>
          <w:color w:val="FF0000"/>
          <w:kern w:val="0"/>
          <w:szCs w:val="21"/>
          <w:highlight w:val="yellow"/>
          <w:lang w:val="en-US" w:eastAsia="zh-CN"/>
        </w:rPr>
        <w:t>递交投标文件</w:t>
      </w:r>
      <w:r>
        <w:rPr>
          <w:rFonts w:hint="eastAsia" w:ascii="宋体" w:hAnsi="宋体" w:cs="宋体"/>
          <w:b w:val="0"/>
          <w:bCs/>
          <w:color w:val="auto"/>
          <w:kern w:val="0"/>
          <w:szCs w:val="21"/>
          <w:highlight w:val="none"/>
          <w:lang w:val="en-US" w:eastAsia="zh-CN"/>
        </w:rPr>
        <w:t>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不要在投标截止时集中递交，递交后的投标人请及时离场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highlight w:val="yellow"/>
          <w:lang w:val="en-US" w:eastAsia="zh-CN"/>
        </w:rPr>
        <w:t>（投标人代表须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yellow"/>
        </w:rPr>
        <w:t>出具</w:t>
      </w:r>
      <w:r>
        <w:rPr>
          <w:rFonts w:hint="eastAsia" w:ascii="宋体" w:hAnsi="宋体" w:cs="宋体"/>
          <w:b/>
          <w:color w:val="FF0000"/>
          <w:kern w:val="0"/>
          <w:szCs w:val="21"/>
          <w:highlight w:val="yellow"/>
        </w:rPr>
        <w:t>的</w:t>
      </w:r>
      <w:r>
        <w:rPr>
          <w:rFonts w:hint="eastAsia" w:ascii="宋体" w:hAnsi="宋体" w:cs="宋体"/>
          <w:b/>
          <w:color w:val="FF0000"/>
          <w:kern w:val="0"/>
          <w:szCs w:val="21"/>
          <w:highlight w:val="yellow"/>
          <w:lang w:val="en-US" w:eastAsia="zh-CN"/>
        </w:rPr>
        <w:t>24小时</w:t>
      </w:r>
      <w:r>
        <w:rPr>
          <w:rFonts w:hint="eastAsia" w:ascii="宋体" w:hAnsi="宋体" w:cs="宋体"/>
          <w:b/>
          <w:color w:val="FF0000"/>
          <w:kern w:val="0"/>
          <w:szCs w:val="21"/>
          <w:highlight w:val="yellow"/>
        </w:rPr>
        <w:t>绿色健康码</w:t>
      </w:r>
      <w:r>
        <w:rPr>
          <w:rFonts w:hint="eastAsia" w:ascii="宋体" w:hAnsi="宋体" w:cs="宋体"/>
          <w:b/>
          <w:color w:val="FF0000"/>
          <w:kern w:val="0"/>
          <w:szCs w:val="21"/>
          <w:highlight w:val="yellow"/>
          <w:lang w:val="en-US" w:eastAsia="zh-CN"/>
        </w:rPr>
        <w:t>和行程码，配戴好口罩，保持一米间距）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0" w:leftChars="0" w:firstLine="0" w:firstLineChars="0"/>
      <w:jc w:val="both"/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t>50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t>66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t>50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t>66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0" w:leftChars="0" w:firstLine="0" w:firstLineChars="0"/>
                            <w:jc w:val="both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left="0" w:leftChars="0" w:firstLine="0" w:firstLineChars="0"/>
                      <w:jc w:val="both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FC705"/>
    <w:multiLevelType w:val="singleLevel"/>
    <w:tmpl w:val="B25FC705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F9D2907C"/>
    <w:multiLevelType w:val="multilevel"/>
    <w:tmpl w:val="F9D2907C"/>
    <w:lvl w:ilvl="0" w:tentative="0">
      <w:start w:val="1"/>
      <w:numFmt w:val="chineseCountingThousand"/>
      <w:pStyle w:val="6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7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8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NTFmMWEyNDk5MWUzMzVjNmY0N2QzYjZmMmUyYzIifQ=="/>
  </w:docVars>
  <w:rsids>
    <w:rsidRoot w:val="204D6ADF"/>
    <w:rsid w:val="037319AF"/>
    <w:rsid w:val="05151C14"/>
    <w:rsid w:val="0DC7755F"/>
    <w:rsid w:val="171C091C"/>
    <w:rsid w:val="18FE25E7"/>
    <w:rsid w:val="19881E8B"/>
    <w:rsid w:val="20254EED"/>
    <w:rsid w:val="204D6ADF"/>
    <w:rsid w:val="2A1C65BC"/>
    <w:rsid w:val="2A763ACC"/>
    <w:rsid w:val="30E97669"/>
    <w:rsid w:val="34A915E9"/>
    <w:rsid w:val="36840120"/>
    <w:rsid w:val="36D65004"/>
    <w:rsid w:val="38DC59FF"/>
    <w:rsid w:val="3B7D31A3"/>
    <w:rsid w:val="3FE65222"/>
    <w:rsid w:val="461418B1"/>
    <w:rsid w:val="4A631E84"/>
    <w:rsid w:val="4EF507EF"/>
    <w:rsid w:val="526C7ABA"/>
    <w:rsid w:val="5495528E"/>
    <w:rsid w:val="55955754"/>
    <w:rsid w:val="56A078E4"/>
    <w:rsid w:val="57E94DB3"/>
    <w:rsid w:val="5BBE0092"/>
    <w:rsid w:val="5EFE426F"/>
    <w:rsid w:val="603F7682"/>
    <w:rsid w:val="60C915DB"/>
    <w:rsid w:val="64901FC2"/>
    <w:rsid w:val="67980EC5"/>
    <w:rsid w:val="70C9331F"/>
    <w:rsid w:val="74B734A4"/>
    <w:rsid w:val="74C22E71"/>
    <w:rsid w:val="77AB7EFD"/>
    <w:rsid w:val="7A4A11D2"/>
    <w:rsid w:val="7AE4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/>
      <w:b/>
      <w:kern w:val="44"/>
      <w:sz w:val="32"/>
      <w:szCs w:val="20"/>
      <w:lang w:val="en-US" w:bidi="ar-SA"/>
    </w:rPr>
  </w:style>
  <w:style w:type="paragraph" w:styleId="7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24"/>
      <w:szCs w:val="20"/>
      <w:lang w:val="en-US" w:bidi="ar-SA"/>
    </w:rPr>
  </w:style>
  <w:style w:type="paragraph" w:styleId="8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ascii="Times New Roman" w:hAnsi="Times New Roman" w:eastAsia="宋体"/>
      <w:b/>
      <w:kern w:val="0"/>
      <w:sz w:val="24"/>
      <w:szCs w:val="20"/>
      <w:lang w:val="en-US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tabs>
        <w:tab w:val="left" w:pos="420"/>
        <w:tab w:val="left" w:pos="8640"/>
      </w:tabs>
      <w:spacing w:after="120"/>
      <w:ind w:left="420" w:leftChars="200" w:firstLine="420" w:firstLineChars="200"/>
    </w:pPr>
    <w:rPr>
      <w:rFonts w:ascii="Times New Roman" w:hAnsi="Times New Roman"/>
    </w:rPr>
  </w:style>
  <w:style w:type="paragraph" w:styleId="3">
    <w:name w:val="Body Text Indent"/>
    <w:basedOn w:val="4"/>
    <w:next w:val="5"/>
    <w:qFormat/>
    <w:uiPriority w:val="99"/>
    <w:pPr>
      <w:tabs>
        <w:tab w:val="left" w:pos="420"/>
        <w:tab w:val="left" w:pos="8640"/>
      </w:tabs>
      <w:ind w:left="1365"/>
    </w:pPr>
  </w:style>
  <w:style w:type="paragraph" w:styleId="4">
    <w:name w:val="Body Text"/>
    <w:basedOn w:val="1"/>
    <w:next w:val="1"/>
    <w:qFormat/>
    <w:uiPriority w:val="0"/>
    <w:pPr>
      <w:ind w:left="252"/>
    </w:pPr>
    <w:rPr>
      <w:rFonts w:ascii="仿宋_GB2312" w:hAnsi="仿宋_GB2312" w:eastAsia="仿宋_GB2312" w:cs="仿宋_GB2312"/>
      <w:sz w:val="28"/>
      <w:szCs w:val="32"/>
      <w:lang w:val="zh-CN" w:bidi="zh-CN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toc 1"/>
    <w:basedOn w:val="1"/>
    <w:next w:val="1"/>
    <w:qFormat/>
    <w:uiPriority w:val="0"/>
    <w:pPr>
      <w:tabs>
        <w:tab w:val="left" w:pos="1470"/>
        <w:tab w:val="right" w:leader="dot" w:pos="8949"/>
      </w:tabs>
      <w:spacing w:line="360" w:lineRule="auto"/>
      <w:ind w:firstLine="480" w:firstLineChars="200"/>
    </w:pPr>
    <w:rPr>
      <w:rFonts w:ascii="仿宋_GB2312" w:hAnsi="仿宋_GB2312" w:eastAsia="宋体"/>
      <w:bCs/>
      <w:color w:val="000000" w:themeColor="text1"/>
      <w:sz w:val="21"/>
      <w:szCs w:val="22"/>
      <w14:textFill>
        <w14:solidFill>
          <w14:schemeClr w14:val="tx1"/>
        </w14:solidFill>
      </w14:textFill>
    </w:rPr>
  </w:style>
  <w:style w:type="paragraph" w:styleId="10">
    <w:name w:val="toc 2"/>
    <w:basedOn w:val="1"/>
    <w:next w:val="1"/>
    <w:qFormat/>
    <w:uiPriority w:val="0"/>
    <w:pPr>
      <w:spacing w:line="300" w:lineRule="auto"/>
      <w:ind w:left="420"/>
    </w:pPr>
    <w:rPr>
      <w:rFonts w:ascii="Times New Roman" w:hAnsi="Times New Roman" w:eastAsia="宋体"/>
      <w:sz w:val="21"/>
      <w:szCs w:val="22"/>
    </w:rPr>
  </w:style>
  <w:style w:type="paragraph" w:styleId="11">
    <w:name w:val="Body Text 2"/>
    <w:basedOn w:val="1"/>
    <w:next w:val="4"/>
    <w:qFormat/>
    <w:uiPriority w:val="0"/>
    <w:pPr>
      <w:spacing w:line="480" w:lineRule="auto"/>
    </w:pPr>
  </w:style>
  <w:style w:type="character" w:customStyle="1" w:styleId="14">
    <w:name w:val="标题 3 字符"/>
    <w:link w:val="8"/>
    <w:qFormat/>
    <w:uiPriority w:val="0"/>
    <w:rPr>
      <w:rFonts w:ascii="Times New Roman" w:hAnsi="Times New Roman" w:eastAsia="宋体"/>
      <w:b/>
      <w:sz w:val="24"/>
      <w:lang w:val="en-US" w:bidi="ar-SA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标题 2 Char"/>
    <w:link w:val="7"/>
    <w:qFormat/>
    <w:uiPriority w:val="0"/>
    <w:rPr>
      <w:rFonts w:ascii="Arial" w:hAnsi="Arial" w:eastAsia="宋体" w:cs="Times New Roman"/>
      <w:b/>
      <w:kern w:val="2"/>
      <w:sz w:val="21"/>
      <w:lang w:val="en-US" w:bidi="ar-SA"/>
    </w:rPr>
  </w:style>
  <w:style w:type="character" w:customStyle="1" w:styleId="17">
    <w:name w:val="标题 1 字符"/>
    <w:link w:val="6"/>
    <w:qFormat/>
    <w:uiPriority w:val="0"/>
    <w:rPr>
      <w:rFonts w:ascii="Times New Roman" w:hAnsi="Times New Roman" w:eastAsia="宋体"/>
      <w:b/>
      <w:kern w:val="44"/>
      <w:sz w:val="32"/>
      <w:lang w:val="en-US" w:eastAsia="zh-CN" w:bidi="ar-SA"/>
    </w:rPr>
  </w:style>
  <w:style w:type="paragraph" w:customStyle="1" w:styleId="18">
    <w:name w:val="文档正文"/>
    <w:basedOn w:val="1"/>
    <w:qFormat/>
    <w:uiPriority w:val="0"/>
    <w:pPr>
      <w:adjustRightInd w:val="0"/>
      <w:spacing w:line="360" w:lineRule="auto"/>
      <w:ind w:firstLine="0"/>
      <w:textAlignment w:val="baseline"/>
    </w:pPr>
    <w:rPr>
      <w:rFonts w:ascii="仿宋_GB2312" w:hAnsi="仿宋_GB2312"/>
      <w:kern w:val="0"/>
    </w:rPr>
  </w:style>
  <w:style w:type="paragraph" w:customStyle="1" w:styleId="19">
    <w:name w:val="AONormal"/>
    <w:qFormat/>
    <w:uiPriority w:val="0"/>
    <w:pPr>
      <w:spacing w:line="260" w:lineRule="atLeast"/>
    </w:pPr>
    <w:rPr>
      <w:rFonts w:ascii="Times New Roman" w:hAnsi="Times New Roman" w:eastAsia="宋体" w:cs="Times New Roman"/>
      <w:sz w:val="22"/>
      <w:szCs w:val="22"/>
      <w:lang w:val="en-GB" w:eastAsia="en-US" w:bidi="ar-SA"/>
    </w:r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870</Characters>
  <Lines>0</Lines>
  <Paragraphs>0</Paragraphs>
  <TotalTime>3</TotalTime>
  <ScaleCrop>false</ScaleCrop>
  <LinksUpToDate>false</LinksUpToDate>
  <CharactersWithSpaces>908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2022-11-16T08:49:00Z</dcterms:created>
  <dc:creator>再见再也不见  ▽ ”</dc:creator>
  <cp:lastModifiedBy>08</cp:lastModifiedBy>
  <dcterms:modified xsi:type="dcterms:W3CDTF">2022-11-24T06:18:49Z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81D3D205A44446EB89A7709B4FDAE5B9</vt:lpwstr>
  </property>
</Properties>
</file>