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0C29F">
      <w:pPr>
        <w:numPr>
          <w:ilvl w:val="0"/>
          <w:numId w:val="1"/>
        </w:numPr>
        <w:bidi w:val="0"/>
        <w:rPr>
          <w:rFonts w:hint="eastAsia" w:ascii="宋体" w:hAnsi="宋体" w:eastAsia="宋体" w:cs="宋体"/>
          <w:lang w:val="en-US" w:eastAsia="zh-CN"/>
        </w:rPr>
      </w:pPr>
      <w:r>
        <w:rPr>
          <w:rFonts w:hint="eastAsia" w:ascii="宋体" w:hAnsi="宋体" w:eastAsia="宋体" w:cs="宋体"/>
          <w:lang w:val="en-US" w:eastAsia="zh-CN"/>
        </w:rPr>
        <w:t>价格变更</w:t>
      </w:r>
      <w:bookmarkStart w:id="0" w:name="_GoBack"/>
      <w:bookmarkEnd w:id="0"/>
    </w:p>
    <w:p w14:paraId="55BB2412">
      <w:pPr>
        <w:keepNext w:val="0"/>
        <w:keepLines w:val="0"/>
        <w:widowControl w:val="0"/>
        <w:suppressLineNumbers w:val="0"/>
        <w:spacing w:before="0" w:beforeAutospacing="0" w:after="0" w:afterAutospacing="0"/>
        <w:ind w:left="0" w:right="0"/>
        <w:jc w:val="both"/>
        <w:rPr>
          <w:rFonts w:hint="eastAsia" w:ascii="宋体" w:hAnsi="宋体" w:eastAsia="宋体" w:cs="宋体"/>
          <w:b/>
          <w:bCs/>
          <w:i w:val="0"/>
          <w:iCs w:val="0"/>
          <w:color w:val="000000"/>
          <w:kern w:val="0"/>
          <w:sz w:val="20"/>
          <w:szCs w:val="20"/>
          <w:woUserID w:val="2"/>
        </w:rPr>
      </w:pPr>
      <w:r>
        <w:rPr>
          <w:rFonts w:hint="eastAsia" w:ascii="宋体" w:hAnsi="宋体" w:eastAsia="宋体" w:cs="宋体"/>
          <w:kern w:val="2"/>
          <w:sz w:val="21"/>
          <w:szCs w:val="21"/>
          <w:lang w:val="en-US" w:eastAsia="zh-CN" w:bidi="ar"/>
          <w:woUserID w:val="2"/>
        </w:rPr>
        <w:t>整体项目采购需求金额由原</w:t>
      </w:r>
      <w:r>
        <w:rPr>
          <w:rFonts w:hint="eastAsia" w:ascii="宋体" w:hAnsi="宋体" w:eastAsia="宋体" w:cs="宋体"/>
          <w:b/>
          <w:bCs/>
          <w:i w:val="0"/>
          <w:iCs w:val="0"/>
          <w:color w:val="000000"/>
          <w:kern w:val="0"/>
          <w:sz w:val="20"/>
          <w:szCs w:val="20"/>
          <w:lang w:val="en-US" w:eastAsia="zh-CN" w:bidi="ar"/>
          <w:woUserID w:val="2"/>
        </w:rPr>
        <w:t>33156000元，</w:t>
      </w:r>
      <w:r>
        <w:rPr>
          <w:rFonts w:hint="eastAsia" w:ascii="宋体" w:hAnsi="宋体" w:eastAsia="宋体" w:cs="宋体"/>
          <w:kern w:val="2"/>
          <w:sz w:val="21"/>
          <w:szCs w:val="21"/>
          <w:lang w:val="en-US" w:eastAsia="zh-CN" w:bidi="ar"/>
          <w:woUserID w:val="2"/>
        </w:rPr>
        <w:t>核减至</w:t>
      </w:r>
      <w:r>
        <w:rPr>
          <w:rFonts w:hint="eastAsia" w:ascii="宋体" w:hAnsi="宋体" w:eastAsia="宋体" w:cs="宋体"/>
          <w:b/>
          <w:bCs/>
          <w:i w:val="0"/>
          <w:iCs w:val="0"/>
          <w:color w:val="000000"/>
          <w:kern w:val="0"/>
          <w:sz w:val="20"/>
          <w:szCs w:val="20"/>
          <w:lang w:val="en-US" w:eastAsia="zh-CN" w:bidi="ar"/>
          <w:woUserID w:val="2"/>
        </w:rPr>
        <w:t>31235900元。</w:t>
      </w:r>
    </w:p>
    <w:p w14:paraId="01789781">
      <w:pPr>
        <w:bidi w:val="0"/>
        <w:rPr>
          <w:rFonts w:hint="eastAsia" w:ascii="宋体" w:hAnsi="宋体" w:eastAsia="宋体" w:cs="宋体"/>
          <w:lang w:val="en-US" w:eastAsia="zh-CN"/>
        </w:rPr>
      </w:pPr>
      <w:r>
        <w:rPr>
          <w:rFonts w:hint="eastAsia" w:ascii="宋体" w:hAnsi="宋体" w:eastAsia="宋体" w:cs="宋体"/>
          <w:lang w:val="en-US" w:eastAsia="zh-CN"/>
        </w:rPr>
        <w:t>二、硬件参数变更</w:t>
      </w:r>
    </w:p>
    <w:p w14:paraId="7AC36727">
      <w:pPr>
        <w:shd w:val="clear" w:fill="FFFFFF" w:themeFill="background1"/>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1.市委组织部场景硬件变更前</w:t>
      </w:r>
    </w:p>
    <w:tbl>
      <w:tblPr>
        <w:tblStyle w:val="3"/>
        <w:tblW w:w="4997" w:type="pct"/>
        <w:jc w:val="center"/>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Layout w:type="autofit"/>
        <w:tblCellMar>
          <w:top w:w="40" w:type="dxa"/>
          <w:left w:w="64" w:type="dxa"/>
          <w:bottom w:w="40" w:type="dxa"/>
          <w:right w:w="64" w:type="dxa"/>
        </w:tblCellMar>
      </w:tblPr>
      <w:tblGrid>
        <w:gridCol w:w="619"/>
        <w:gridCol w:w="2228"/>
        <w:gridCol w:w="3658"/>
        <w:gridCol w:w="528"/>
        <w:gridCol w:w="546"/>
        <w:gridCol w:w="850"/>
      </w:tblGrid>
      <w:tr w14:paraId="613A5FAA">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40" w:type="dxa"/>
            <w:left w:w="64" w:type="dxa"/>
            <w:bottom w:w="40" w:type="dxa"/>
            <w:right w:w="64" w:type="dxa"/>
          </w:tblCellMar>
        </w:tblPrEx>
        <w:trPr>
          <w:jc w:val="center"/>
        </w:trPr>
        <w:tc>
          <w:tcPr>
            <w:tcW w:w="367" w:type="pct"/>
            <w:tcBorders>
              <w:bottom w:val="single" w:color="000000" w:sz="4" w:space="0"/>
              <w:right w:val="single" w:color="000000" w:sz="4" w:space="0"/>
            </w:tcBorders>
            <w:vAlign w:val="center"/>
          </w:tcPr>
          <w:p w14:paraId="083C42D1">
            <w:pPr>
              <w:widowControl/>
              <w:shd w:val="clear" w:fill="FFFFFF" w:themeFill="background1"/>
              <w:snapToGrid w:val="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序号</w:t>
            </w:r>
          </w:p>
        </w:tc>
        <w:tc>
          <w:tcPr>
            <w:tcW w:w="1321" w:type="pct"/>
            <w:tcBorders>
              <w:left w:val="nil"/>
              <w:bottom w:val="single" w:color="000000" w:sz="4" w:space="0"/>
              <w:right w:val="single" w:color="000000" w:sz="4" w:space="0"/>
            </w:tcBorders>
            <w:vAlign w:val="center"/>
          </w:tcPr>
          <w:p w14:paraId="7F541EED">
            <w:pPr>
              <w:widowControl/>
              <w:shd w:val="clear" w:fill="FFFFFF" w:themeFill="background1"/>
              <w:snapToGrid w:val="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设备名称</w:t>
            </w:r>
          </w:p>
        </w:tc>
        <w:tc>
          <w:tcPr>
            <w:tcW w:w="2169" w:type="pct"/>
            <w:tcBorders>
              <w:left w:val="nil"/>
              <w:bottom w:val="single" w:color="000000" w:sz="4" w:space="0"/>
              <w:right w:val="single" w:color="000000" w:sz="4" w:space="0"/>
            </w:tcBorders>
            <w:vAlign w:val="center"/>
          </w:tcPr>
          <w:p w14:paraId="69F2FF9E">
            <w:pPr>
              <w:widowControl/>
              <w:shd w:val="clear" w:fill="FFFFFF" w:themeFill="background1"/>
              <w:snapToGrid w:val="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主要技术指标</w:t>
            </w:r>
          </w:p>
        </w:tc>
        <w:tc>
          <w:tcPr>
            <w:tcW w:w="313" w:type="pct"/>
            <w:tcBorders>
              <w:left w:val="nil"/>
              <w:bottom w:val="single" w:color="000000" w:sz="4" w:space="0"/>
              <w:right w:val="single" w:color="000000" w:sz="4" w:space="0"/>
            </w:tcBorders>
            <w:vAlign w:val="center"/>
          </w:tcPr>
          <w:p w14:paraId="739455E9">
            <w:pPr>
              <w:widowControl/>
              <w:shd w:val="clear" w:fill="FFFFFF" w:themeFill="background1"/>
              <w:snapToGrid w:val="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单位</w:t>
            </w:r>
          </w:p>
        </w:tc>
        <w:tc>
          <w:tcPr>
            <w:tcW w:w="324" w:type="pct"/>
            <w:tcBorders>
              <w:left w:val="nil"/>
              <w:bottom w:val="single" w:color="000000" w:sz="4" w:space="0"/>
              <w:right w:val="single" w:color="000000" w:sz="4" w:space="0"/>
            </w:tcBorders>
            <w:vAlign w:val="center"/>
          </w:tcPr>
          <w:p w14:paraId="4DA5AF1A">
            <w:pPr>
              <w:widowControl/>
              <w:shd w:val="clear" w:fill="FFFFFF" w:themeFill="background1"/>
              <w:snapToGrid w:val="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数量</w:t>
            </w:r>
          </w:p>
        </w:tc>
        <w:tc>
          <w:tcPr>
            <w:tcW w:w="504" w:type="pct"/>
            <w:tcBorders>
              <w:left w:val="nil"/>
              <w:bottom w:val="single" w:color="000000" w:sz="4" w:space="0"/>
            </w:tcBorders>
            <w:vAlign w:val="center"/>
          </w:tcPr>
          <w:p w14:paraId="312E80BE">
            <w:pPr>
              <w:widowControl/>
              <w:shd w:val="clear" w:fill="FFFFFF" w:themeFill="background1"/>
              <w:snapToGrid w:val="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备注</w:t>
            </w:r>
          </w:p>
        </w:tc>
      </w:tr>
      <w:tr w14:paraId="6247764F">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40" w:type="dxa"/>
            <w:left w:w="64" w:type="dxa"/>
            <w:bottom w:w="40" w:type="dxa"/>
            <w:right w:w="64" w:type="dxa"/>
          </w:tblCellMar>
        </w:tblPrEx>
        <w:trPr>
          <w:jc w:val="center"/>
        </w:trPr>
        <w:tc>
          <w:tcPr>
            <w:tcW w:w="367" w:type="pct"/>
            <w:tcBorders>
              <w:top w:val="single" w:color="000000" w:sz="4" w:space="0"/>
              <w:bottom w:val="single" w:color="000000" w:sz="4" w:space="0"/>
              <w:right w:val="single" w:color="000000" w:sz="4" w:space="0"/>
            </w:tcBorders>
            <w:shd w:val="clear" w:color="auto" w:fill="auto"/>
            <w:vAlign w:val="center"/>
          </w:tcPr>
          <w:p w14:paraId="4F7A6686">
            <w:pPr>
              <w:widowControl/>
              <w:snapToGrid w:val="0"/>
              <w:jc w:val="center"/>
              <w:textAlignment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kern w:val="0"/>
                <w:sz w:val="20"/>
                <w:szCs w:val="20"/>
                <w:highlight w:val="none"/>
                <w:lang w:bidi="ar"/>
              </w:rPr>
              <w:t>3</w:t>
            </w:r>
          </w:p>
        </w:tc>
        <w:tc>
          <w:tcPr>
            <w:tcW w:w="1321" w:type="pct"/>
            <w:tcBorders>
              <w:top w:val="single" w:color="000000" w:sz="4" w:space="0"/>
              <w:left w:val="nil"/>
              <w:bottom w:val="single" w:color="000000" w:sz="4" w:space="0"/>
              <w:right w:val="single" w:color="000000" w:sz="4" w:space="0"/>
            </w:tcBorders>
            <w:shd w:val="clear" w:color="auto" w:fill="auto"/>
            <w:vAlign w:val="center"/>
          </w:tcPr>
          <w:p w14:paraId="40749863">
            <w:pPr>
              <w:widowControl/>
              <w:snapToGrid w:val="0"/>
              <w:jc w:val="center"/>
              <w:textAlignment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kern w:val="0"/>
                <w:sz w:val="20"/>
                <w:szCs w:val="20"/>
                <w:highlight w:val="none"/>
                <w:lang w:bidi="ar"/>
              </w:rPr>
              <w:t>智慧组工-昇腾推理一体机</w:t>
            </w:r>
          </w:p>
        </w:tc>
        <w:tc>
          <w:tcPr>
            <w:tcW w:w="2169" w:type="pct"/>
            <w:tcBorders>
              <w:top w:val="single" w:color="000000" w:sz="4" w:space="0"/>
              <w:left w:val="nil"/>
              <w:bottom w:val="single" w:color="000000" w:sz="4" w:space="0"/>
              <w:right w:val="single" w:color="000000" w:sz="4" w:space="0"/>
            </w:tcBorders>
            <w:shd w:val="clear" w:color="auto" w:fill="auto"/>
            <w:vAlign w:val="center"/>
          </w:tcPr>
          <w:p w14:paraId="60730D65">
            <w:pPr>
              <w:widowControl/>
              <w:snapToGrid w:val="0"/>
              <w:jc w:val="left"/>
              <w:textAlignment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kern w:val="0"/>
                <w:sz w:val="20"/>
                <w:szCs w:val="20"/>
                <w:highlight w:val="none"/>
                <w:lang w:bidi="ar"/>
              </w:rPr>
              <w:t>GPU:8*300I Duo卡；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CPU:4*48核鲲鹏920；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显存：单卡GPU显存96G；</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单卡GPU算力：140 TFLOPS FP16</w:t>
            </w:r>
          </w:p>
        </w:tc>
        <w:tc>
          <w:tcPr>
            <w:tcW w:w="313" w:type="pct"/>
            <w:tcBorders>
              <w:top w:val="single" w:color="000000" w:sz="4" w:space="0"/>
              <w:left w:val="nil"/>
              <w:bottom w:val="single" w:color="000000" w:sz="4" w:space="0"/>
              <w:right w:val="single" w:color="000000" w:sz="4" w:space="0"/>
            </w:tcBorders>
            <w:shd w:val="clear" w:color="auto" w:fill="auto"/>
            <w:vAlign w:val="center"/>
          </w:tcPr>
          <w:p w14:paraId="272556F4">
            <w:pPr>
              <w:widowControl/>
              <w:snapToGrid w:val="0"/>
              <w:jc w:val="center"/>
              <w:textAlignment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kern w:val="0"/>
                <w:sz w:val="20"/>
                <w:szCs w:val="20"/>
                <w:highlight w:val="none"/>
                <w:lang w:bidi="ar"/>
              </w:rPr>
              <w:t>台</w:t>
            </w:r>
          </w:p>
        </w:tc>
        <w:tc>
          <w:tcPr>
            <w:tcW w:w="324" w:type="pct"/>
            <w:tcBorders>
              <w:top w:val="single" w:color="000000" w:sz="4" w:space="0"/>
              <w:left w:val="nil"/>
              <w:bottom w:val="single" w:color="000000" w:sz="4" w:space="0"/>
              <w:right w:val="single" w:color="000000" w:sz="4" w:space="0"/>
            </w:tcBorders>
            <w:shd w:val="clear" w:color="auto" w:fill="auto"/>
            <w:vAlign w:val="center"/>
          </w:tcPr>
          <w:p w14:paraId="45C1C971">
            <w:pPr>
              <w:widowControl/>
              <w:snapToGrid w:val="0"/>
              <w:jc w:val="center"/>
              <w:textAlignment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kern w:val="0"/>
                <w:sz w:val="20"/>
                <w:szCs w:val="20"/>
                <w:highlight w:val="none"/>
                <w:lang w:bidi="ar"/>
              </w:rPr>
              <w:t>1</w:t>
            </w:r>
          </w:p>
        </w:tc>
        <w:tc>
          <w:tcPr>
            <w:tcW w:w="504" w:type="pct"/>
            <w:tcBorders>
              <w:top w:val="single" w:color="000000" w:sz="4" w:space="0"/>
              <w:left w:val="nil"/>
              <w:bottom w:val="single" w:color="000000" w:sz="4" w:space="0"/>
            </w:tcBorders>
            <w:shd w:val="clear" w:color="auto" w:fill="auto"/>
            <w:vAlign w:val="center"/>
          </w:tcPr>
          <w:p w14:paraId="259E28B3">
            <w:pPr>
              <w:widowControl/>
              <w:snapToGrid w:val="0"/>
              <w:jc w:val="center"/>
              <w:textAlignment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kern w:val="0"/>
                <w:sz w:val="20"/>
                <w:szCs w:val="20"/>
                <w:highlight w:val="none"/>
                <w:lang w:bidi="ar"/>
              </w:rPr>
              <w:t>组织部业务使用</w:t>
            </w:r>
          </w:p>
        </w:tc>
      </w:tr>
      <w:tr w14:paraId="0B2D66AF">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40" w:type="dxa"/>
            <w:left w:w="64" w:type="dxa"/>
            <w:bottom w:w="40" w:type="dxa"/>
            <w:right w:w="64" w:type="dxa"/>
          </w:tblCellMar>
        </w:tblPrEx>
        <w:trPr>
          <w:jc w:val="center"/>
        </w:trPr>
        <w:tc>
          <w:tcPr>
            <w:tcW w:w="367" w:type="pct"/>
            <w:tcBorders>
              <w:top w:val="single" w:color="000000" w:sz="4" w:space="0"/>
              <w:right w:val="single" w:color="000000" w:sz="4" w:space="0"/>
            </w:tcBorders>
            <w:shd w:val="clear" w:color="auto" w:fill="auto"/>
            <w:vAlign w:val="center"/>
          </w:tcPr>
          <w:p w14:paraId="12D3F63F">
            <w:pPr>
              <w:widowControl/>
              <w:snapToGrid w:val="0"/>
              <w:jc w:val="center"/>
              <w:textAlignment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kern w:val="0"/>
                <w:sz w:val="20"/>
                <w:szCs w:val="20"/>
                <w:highlight w:val="none"/>
                <w:lang w:bidi="ar"/>
              </w:rPr>
              <w:t>4</w:t>
            </w:r>
          </w:p>
        </w:tc>
        <w:tc>
          <w:tcPr>
            <w:tcW w:w="1321" w:type="pct"/>
            <w:tcBorders>
              <w:top w:val="single" w:color="000000" w:sz="4" w:space="0"/>
              <w:left w:val="nil"/>
              <w:right w:val="single" w:color="000000" w:sz="4" w:space="0"/>
            </w:tcBorders>
            <w:shd w:val="clear" w:color="auto" w:fill="auto"/>
            <w:vAlign w:val="center"/>
          </w:tcPr>
          <w:p w14:paraId="6912B40D">
            <w:pPr>
              <w:widowControl/>
              <w:snapToGrid w:val="0"/>
              <w:jc w:val="center"/>
              <w:textAlignment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kern w:val="0"/>
                <w:sz w:val="20"/>
                <w:szCs w:val="20"/>
                <w:highlight w:val="none"/>
                <w:lang w:bidi="ar"/>
              </w:rPr>
              <w:t>智慧组工-数据存储服务器</w:t>
            </w:r>
          </w:p>
        </w:tc>
        <w:tc>
          <w:tcPr>
            <w:tcW w:w="2169" w:type="pct"/>
            <w:tcBorders>
              <w:top w:val="single" w:color="000000" w:sz="4" w:space="0"/>
              <w:left w:val="nil"/>
              <w:right w:val="single" w:color="000000" w:sz="4" w:space="0"/>
            </w:tcBorders>
            <w:shd w:val="clear" w:color="auto" w:fill="auto"/>
            <w:vAlign w:val="center"/>
          </w:tcPr>
          <w:p w14:paraId="3F6ADC99">
            <w:pPr>
              <w:widowControl/>
              <w:snapToGrid w:val="0"/>
              <w:jc w:val="left"/>
              <w:textAlignment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kern w:val="0"/>
                <w:sz w:val="20"/>
                <w:szCs w:val="20"/>
                <w:highlight w:val="none"/>
                <w:lang w:bidi="ar"/>
              </w:rPr>
              <w:t>鲲鹏920 双路2颗 32核 2.6GHZ  64G/480G+8T*4 HDD/900W*2/2U/3年保修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银河麒麟高级服务器操作系统V10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达梦数据库管理系统</w:t>
            </w:r>
          </w:p>
        </w:tc>
        <w:tc>
          <w:tcPr>
            <w:tcW w:w="313" w:type="pct"/>
            <w:tcBorders>
              <w:top w:val="single" w:color="000000" w:sz="4" w:space="0"/>
              <w:left w:val="nil"/>
              <w:right w:val="single" w:color="000000" w:sz="4" w:space="0"/>
            </w:tcBorders>
            <w:shd w:val="clear" w:color="auto" w:fill="auto"/>
            <w:vAlign w:val="center"/>
          </w:tcPr>
          <w:p w14:paraId="5729F99B">
            <w:pPr>
              <w:widowControl/>
              <w:snapToGrid w:val="0"/>
              <w:jc w:val="center"/>
              <w:textAlignment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kern w:val="0"/>
                <w:sz w:val="20"/>
                <w:szCs w:val="20"/>
                <w:highlight w:val="none"/>
                <w:lang w:bidi="ar"/>
              </w:rPr>
              <w:t>套</w:t>
            </w:r>
          </w:p>
        </w:tc>
        <w:tc>
          <w:tcPr>
            <w:tcW w:w="324" w:type="pct"/>
            <w:tcBorders>
              <w:top w:val="single" w:color="000000" w:sz="4" w:space="0"/>
              <w:left w:val="nil"/>
              <w:right w:val="single" w:color="000000" w:sz="4" w:space="0"/>
            </w:tcBorders>
            <w:shd w:val="clear" w:color="auto" w:fill="auto"/>
            <w:vAlign w:val="center"/>
          </w:tcPr>
          <w:p w14:paraId="4AC69FFA">
            <w:pPr>
              <w:widowControl/>
              <w:snapToGrid w:val="0"/>
              <w:jc w:val="center"/>
              <w:textAlignment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kern w:val="0"/>
                <w:sz w:val="20"/>
                <w:szCs w:val="20"/>
                <w:highlight w:val="none"/>
                <w:lang w:bidi="ar"/>
              </w:rPr>
              <w:t>1</w:t>
            </w:r>
          </w:p>
        </w:tc>
        <w:tc>
          <w:tcPr>
            <w:tcW w:w="504" w:type="pct"/>
            <w:tcBorders>
              <w:top w:val="single" w:color="000000" w:sz="4" w:space="0"/>
              <w:left w:val="nil"/>
            </w:tcBorders>
            <w:shd w:val="clear" w:color="auto" w:fill="auto"/>
            <w:vAlign w:val="center"/>
          </w:tcPr>
          <w:p w14:paraId="73791888">
            <w:pPr>
              <w:widowControl/>
              <w:snapToGrid w:val="0"/>
              <w:jc w:val="center"/>
              <w:textAlignment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kern w:val="0"/>
                <w:sz w:val="20"/>
                <w:szCs w:val="20"/>
                <w:highlight w:val="none"/>
                <w:lang w:bidi="ar"/>
              </w:rPr>
              <w:t>组织部业务使用</w:t>
            </w:r>
          </w:p>
        </w:tc>
      </w:tr>
    </w:tbl>
    <w:p w14:paraId="50BEE394">
      <w:pPr>
        <w:shd w:val="clear" w:fill="FFFFFF" w:themeFill="background1"/>
        <w:rPr>
          <w:rFonts w:hint="eastAsia" w:ascii="宋体" w:hAnsi="宋体" w:eastAsia="宋体" w:cs="宋体"/>
          <w:color w:val="auto"/>
          <w:sz w:val="21"/>
          <w:szCs w:val="21"/>
          <w:highlight w:val="none"/>
          <w:lang w:val="en-US" w:eastAsia="zh-CN"/>
        </w:rPr>
      </w:pPr>
    </w:p>
    <w:p w14:paraId="5FA72EBD">
      <w:pPr>
        <w:shd w:val="clear" w:fill="FFFFFF" w:themeFill="background1"/>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2.市委组织部场景硬件变更后</w:t>
      </w:r>
    </w:p>
    <w:tbl>
      <w:tblPr>
        <w:tblStyle w:val="3"/>
        <w:tblW w:w="4997" w:type="pct"/>
        <w:jc w:val="center"/>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Layout w:type="autofit"/>
        <w:tblCellMar>
          <w:top w:w="40" w:type="dxa"/>
          <w:left w:w="64" w:type="dxa"/>
          <w:bottom w:w="40" w:type="dxa"/>
          <w:right w:w="64" w:type="dxa"/>
        </w:tblCellMar>
      </w:tblPr>
      <w:tblGrid>
        <w:gridCol w:w="620"/>
        <w:gridCol w:w="2227"/>
        <w:gridCol w:w="3657"/>
        <w:gridCol w:w="528"/>
        <w:gridCol w:w="547"/>
        <w:gridCol w:w="850"/>
      </w:tblGrid>
      <w:tr w14:paraId="2F129FCF">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40" w:type="dxa"/>
            <w:left w:w="64" w:type="dxa"/>
            <w:bottom w:w="40" w:type="dxa"/>
            <w:right w:w="64" w:type="dxa"/>
          </w:tblCellMar>
        </w:tblPrEx>
        <w:trPr>
          <w:jc w:val="center"/>
        </w:trPr>
        <w:tc>
          <w:tcPr>
            <w:tcW w:w="368" w:type="pct"/>
            <w:tcBorders>
              <w:bottom w:val="single" w:color="000000" w:sz="4" w:space="0"/>
              <w:right w:val="single" w:color="000000" w:sz="4" w:space="0"/>
            </w:tcBorders>
            <w:vAlign w:val="center"/>
          </w:tcPr>
          <w:p w14:paraId="419242F4">
            <w:pPr>
              <w:widowControl/>
              <w:shd w:val="clear" w:fill="FFFFFF" w:themeFill="background1"/>
              <w:snapToGrid w:val="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序号</w:t>
            </w:r>
          </w:p>
        </w:tc>
        <w:tc>
          <w:tcPr>
            <w:tcW w:w="1320" w:type="pct"/>
            <w:tcBorders>
              <w:left w:val="nil"/>
              <w:bottom w:val="single" w:color="000000" w:sz="4" w:space="0"/>
              <w:right w:val="single" w:color="000000" w:sz="4" w:space="0"/>
            </w:tcBorders>
            <w:vAlign w:val="center"/>
          </w:tcPr>
          <w:p w14:paraId="680030F7">
            <w:pPr>
              <w:widowControl/>
              <w:shd w:val="clear" w:fill="FFFFFF" w:themeFill="background1"/>
              <w:snapToGrid w:val="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设备名称</w:t>
            </w:r>
          </w:p>
        </w:tc>
        <w:tc>
          <w:tcPr>
            <w:tcW w:w="2168" w:type="pct"/>
            <w:tcBorders>
              <w:left w:val="nil"/>
              <w:bottom w:val="single" w:color="000000" w:sz="4" w:space="0"/>
              <w:right w:val="single" w:color="000000" w:sz="4" w:space="0"/>
            </w:tcBorders>
            <w:vAlign w:val="center"/>
          </w:tcPr>
          <w:p w14:paraId="5DE2EF58">
            <w:pPr>
              <w:widowControl/>
              <w:shd w:val="clear" w:fill="FFFFFF" w:themeFill="background1"/>
              <w:snapToGrid w:val="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主要技术指标</w:t>
            </w:r>
          </w:p>
        </w:tc>
        <w:tc>
          <w:tcPr>
            <w:tcW w:w="313" w:type="pct"/>
            <w:tcBorders>
              <w:left w:val="nil"/>
              <w:bottom w:val="single" w:color="000000" w:sz="4" w:space="0"/>
              <w:right w:val="single" w:color="000000" w:sz="4" w:space="0"/>
            </w:tcBorders>
            <w:vAlign w:val="center"/>
          </w:tcPr>
          <w:p w14:paraId="6F1AB57B">
            <w:pPr>
              <w:widowControl/>
              <w:shd w:val="clear" w:fill="FFFFFF" w:themeFill="background1"/>
              <w:snapToGrid w:val="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单位</w:t>
            </w:r>
          </w:p>
        </w:tc>
        <w:tc>
          <w:tcPr>
            <w:tcW w:w="324" w:type="pct"/>
            <w:tcBorders>
              <w:left w:val="nil"/>
              <w:bottom w:val="single" w:color="000000" w:sz="4" w:space="0"/>
              <w:right w:val="single" w:color="000000" w:sz="4" w:space="0"/>
            </w:tcBorders>
            <w:vAlign w:val="center"/>
          </w:tcPr>
          <w:p w14:paraId="6AF403C7">
            <w:pPr>
              <w:widowControl/>
              <w:shd w:val="clear" w:fill="FFFFFF" w:themeFill="background1"/>
              <w:snapToGrid w:val="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数量</w:t>
            </w:r>
          </w:p>
        </w:tc>
        <w:tc>
          <w:tcPr>
            <w:tcW w:w="504" w:type="pct"/>
            <w:tcBorders>
              <w:left w:val="nil"/>
              <w:bottom w:val="single" w:color="000000" w:sz="4" w:space="0"/>
            </w:tcBorders>
            <w:vAlign w:val="center"/>
          </w:tcPr>
          <w:p w14:paraId="079BBD3B">
            <w:pPr>
              <w:widowControl/>
              <w:shd w:val="clear" w:fill="FFFFFF" w:themeFill="background1"/>
              <w:snapToGrid w:val="0"/>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备注</w:t>
            </w:r>
          </w:p>
        </w:tc>
      </w:tr>
      <w:tr w14:paraId="69265CD7">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40" w:type="dxa"/>
            <w:left w:w="64" w:type="dxa"/>
            <w:bottom w:w="40" w:type="dxa"/>
            <w:right w:w="64" w:type="dxa"/>
          </w:tblCellMar>
        </w:tblPrEx>
        <w:trPr>
          <w:jc w:val="center"/>
        </w:trPr>
        <w:tc>
          <w:tcPr>
            <w:tcW w:w="368" w:type="pct"/>
            <w:tcBorders>
              <w:top w:val="single" w:color="000000" w:sz="4" w:space="0"/>
              <w:bottom w:val="single" w:color="000000" w:sz="4" w:space="0"/>
              <w:right w:val="single" w:color="000000" w:sz="4" w:space="0"/>
            </w:tcBorders>
            <w:vAlign w:val="center"/>
          </w:tcPr>
          <w:p w14:paraId="10C7EA70">
            <w:pPr>
              <w:widowControl/>
              <w:shd w:val="clear" w:fill="FFFFFF" w:themeFill="background1"/>
              <w:snapToGrid w:val="0"/>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val="en-US" w:eastAsia="zh-CN" w:bidi="ar"/>
              </w:rPr>
              <w:t>3</w:t>
            </w:r>
          </w:p>
        </w:tc>
        <w:tc>
          <w:tcPr>
            <w:tcW w:w="1320" w:type="pct"/>
            <w:tcBorders>
              <w:top w:val="single" w:color="000000" w:sz="4" w:space="0"/>
              <w:left w:val="nil"/>
              <w:bottom w:val="single" w:color="000000" w:sz="4" w:space="0"/>
              <w:right w:val="single" w:color="000000" w:sz="4" w:space="0"/>
            </w:tcBorders>
            <w:vAlign w:val="center"/>
          </w:tcPr>
          <w:p w14:paraId="11D87C13">
            <w:pPr>
              <w:widowControl/>
              <w:shd w:val="clear" w:fill="FFFFFF" w:themeFill="background1"/>
              <w:snapToGrid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大模型私有化部署服务器</w:t>
            </w:r>
          </w:p>
        </w:tc>
        <w:tc>
          <w:tcPr>
            <w:tcW w:w="2168" w:type="pct"/>
            <w:tcBorders>
              <w:top w:val="single" w:color="000000" w:sz="4" w:space="0"/>
              <w:left w:val="nil"/>
              <w:bottom w:val="single" w:color="000000" w:sz="4" w:space="0"/>
              <w:right w:val="single" w:color="000000" w:sz="4" w:space="0"/>
            </w:tcBorders>
            <w:vAlign w:val="center"/>
          </w:tcPr>
          <w:p w14:paraId="40A04DD5">
            <w:pPr>
              <w:widowControl/>
              <w:shd w:val="clear" w:fill="FFFFFF" w:themeFill="background1"/>
              <w:snapToGrid w:val="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CPU：海光7380(32C/2.2GHz)*2</w:t>
            </w:r>
          </w:p>
          <w:p w14:paraId="1C1553CD">
            <w:pPr>
              <w:widowControl/>
              <w:shd w:val="clear" w:fill="FFFFFF" w:themeFill="background1"/>
              <w:snapToGrid w:val="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内存：64G 3200MHz DDR4 ECC-R*8</w:t>
            </w:r>
          </w:p>
          <w:p w14:paraId="27AA9AAD">
            <w:pPr>
              <w:widowControl/>
              <w:shd w:val="clear" w:fill="FFFFFF" w:themeFill="background1"/>
              <w:snapToGrid w:val="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SATA SSD硬盘：480G SATA SSD硬盘*2</w:t>
            </w:r>
          </w:p>
          <w:p w14:paraId="1D3B70F1">
            <w:pPr>
              <w:widowControl/>
              <w:shd w:val="clear" w:fill="FFFFFF" w:themeFill="background1"/>
              <w:snapToGrid w:val="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SATA SSD硬盘：3.84T SATA SSD硬盘*6</w:t>
            </w:r>
          </w:p>
          <w:p w14:paraId="2760E911">
            <w:pPr>
              <w:widowControl/>
              <w:shd w:val="clear" w:fill="FFFFFF" w:themeFill="background1"/>
              <w:snapToGrid w:val="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RAID卡：LSI 9560 4G SAS RAID卡*1</w:t>
            </w:r>
          </w:p>
          <w:p w14:paraId="7524ED33">
            <w:pPr>
              <w:widowControl/>
              <w:shd w:val="clear" w:fill="FFFFFF" w:themeFill="background1"/>
              <w:snapToGrid w:val="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光口网卡：双口25G网卡*2（含SFP+光模块）</w:t>
            </w:r>
          </w:p>
          <w:p w14:paraId="5DD1D6FC">
            <w:pPr>
              <w:widowControl/>
              <w:shd w:val="clear" w:fill="FFFFFF" w:themeFill="background1"/>
              <w:snapToGrid w:val="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GPU卡：海光DCU K100_AI加速卡*8、提供强大的训练应用性能</w:t>
            </w:r>
          </w:p>
          <w:p w14:paraId="0BA86253">
            <w:pPr>
              <w:widowControl/>
              <w:shd w:val="clear" w:fill="FFFFFF" w:themeFill="background1"/>
              <w:snapToGrid w:val="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电源：2700W电源模块*4，支持热插拔，支持3+1/2+2冗余</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银河麒麟高级服务器操作系统</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达梦数据库管理系统</w:t>
            </w:r>
          </w:p>
          <w:p w14:paraId="01195EA3">
            <w:pPr>
              <w:widowControl/>
              <w:shd w:val="clear" w:fill="FFFFFF" w:themeFill="background1"/>
              <w:snapToGrid w:val="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通义千问Qwen3系列大模型，包括：</w:t>
            </w:r>
          </w:p>
          <w:p w14:paraId="6C58459C">
            <w:pPr>
              <w:widowControl/>
              <w:shd w:val="clear" w:fill="FFFFFF" w:themeFill="background1"/>
              <w:snapToGrid w:val="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视觉语言模型Qwen2.5-72B-VLM；</w:t>
            </w:r>
          </w:p>
          <w:p w14:paraId="13398942">
            <w:pPr>
              <w:widowControl/>
              <w:shd w:val="clear" w:fill="FFFFFF" w:themeFill="background1"/>
              <w:snapToGrid w:val="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推理专用语言模型Qwen3-30B-A3B-thinking；</w:t>
            </w:r>
          </w:p>
          <w:p w14:paraId="0F8577A5">
            <w:pPr>
              <w:widowControl/>
              <w:shd w:val="clear" w:fill="FFFFFF" w:themeFill="background1"/>
              <w:snapToGrid w:val="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通用指令模型：Qwen3-30B-A3B-Instruct。</w:t>
            </w:r>
          </w:p>
        </w:tc>
        <w:tc>
          <w:tcPr>
            <w:tcW w:w="313" w:type="pct"/>
            <w:tcBorders>
              <w:top w:val="single" w:color="000000" w:sz="4" w:space="0"/>
              <w:left w:val="nil"/>
              <w:bottom w:val="single" w:color="000000" w:sz="4" w:space="0"/>
              <w:right w:val="single" w:color="000000" w:sz="4" w:space="0"/>
            </w:tcBorders>
            <w:vAlign w:val="center"/>
          </w:tcPr>
          <w:p w14:paraId="43836816">
            <w:pPr>
              <w:widowControl/>
              <w:shd w:val="clear" w:fill="FFFFFF" w:themeFill="background1"/>
              <w:snapToGrid w:val="0"/>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套</w:t>
            </w:r>
          </w:p>
        </w:tc>
        <w:tc>
          <w:tcPr>
            <w:tcW w:w="324" w:type="pct"/>
            <w:tcBorders>
              <w:top w:val="single" w:color="000000" w:sz="4" w:space="0"/>
              <w:left w:val="nil"/>
              <w:bottom w:val="single" w:color="000000" w:sz="4" w:space="0"/>
              <w:right w:val="single" w:color="000000" w:sz="4" w:space="0"/>
            </w:tcBorders>
            <w:vAlign w:val="center"/>
          </w:tcPr>
          <w:p w14:paraId="5BDAAF4D">
            <w:pPr>
              <w:widowControl/>
              <w:shd w:val="clear" w:fill="FFFFFF" w:themeFill="background1"/>
              <w:snapToGrid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504" w:type="pct"/>
            <w:tcBorders>
              <w:top w:val="single" w:color="000000" w:sz="4" w:space="0"/>
              <w:left w:val="nil"/>
              <w:bottom w:val="single" w:color="000000" w:sz="4" w:space="0"/>
            </w:tcBorders>
            <w:vAlign w:val="center"/>
          </w:tcPr>
          <w:p w14:paraId="659470A4">
            <w:pPr>
              <w:widowControl/>
              <w:shd w:val="clear" w:fill="FFFFFF" w:themeFill="background1"/>
              <w:snapToGrid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组织部业务使用</w:t>
            </w:r>
          </w:p>
        </w:tc>
      </w:tr>
      <w:tr w14:paraId="68B2EDE1">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40" w:type="dxa"/>
            <w:left w:w="64" w:type="dxa"/>
            <w:bottom w:w="40" w:type="dxa"/>
            <w:right w:w="64" w:type="dxa"/>
          </w:tblCellMar>
        </w:tblPrEx>
        <w:trPr>
          <w:jc w:val="center"/>
        </w:trPr>
        <w:tc>
          <w:tcPr>
            <w:tcW w:w="368" w:type="pct"/>
            <w:tcBorders>
              <w:top w:val="single" w:color="000000" w:sz="4" w:space="0"/>
              <w:right w:val="single" w:color="000000" w:sz="4" w:space="0"/>
            </w:tcBorders>
            <w:vAlign w:val="center"/>
          </w:tcPr>
          <w:p w14:paraId="78ABEA75">
            <w:pPr>
              <w:widowControl/>
              <w:shd w:val="clear" w:fill="FFFFFF" w:themeFill="background1"/>
              <w:snapToGrid w:val="0"/>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val="en-US" w:eastAsia="zh-CN" w:bidi="ar"/>
              </w:rPr>
              <w:t>4</w:t>
            </w:r>
          </w:p>
        </w:tc>
        <w:tc>
          <w:tcPr>
            <w:tcW w:w="1320" w:type="pct"/>
            <w:tcBorders>
              <w:top w:val="single" w:color="000000" w:sz="4" w:space="0"/>
              <w:left w:val="nil"/>
              <w:right w:val="single" w:color="000000" w:sz="4" w:space="0"/>
            </w:tcBorders>
            <w:vAlign w:val="center"/>
          </w:tcPr>
          <w:p w14:paraId="018AEED0">
            <w:pPr>
              <w:widowControl/>
              <w:shd w:val="clear" w:fill="FFFFFF" w:themeFill="background1"/>
              <w:snapToGrid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智慧组工业务管理平台服务器</w:t>
            </w:r>
          </w:p>
        </w:tc>
        <w:tc>
          <w:tcPr>
            <w:tcW w:w="2168" w:type="pct"/>
            <w:tcBorders>
              <w:top w:val="single" w:color="000000" w:sz="4" w:space="0"/>
              <w:left w:val="nil"/>
              <w:right w:val="single" w:color="000000" w:sz="4" w:space="0"/>
            </w:tcBorders>
            <w:vAlign w:val="center"/>
          </w:tcPr>
          <w:p w14:paraId="3004609C">
            <w:pPr>
              <w:widowControl/>
              <w:shd w:val="clear" w:fill="FFFFFF" w:themeFill="background1"/>
              <w:snapToGrid w:val="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CPU：海光7390（32核心64线程2.7GHZ）*2；</w:t>
            </w:r>
          </w:p>
          <w:p w14:paraId="03D693F9">
            <w:pPr>
              <w:widowControl/>
              <w:shd w:val="clear" w:fill="FFFFFF" w:themeFill="background1"/>
              <w:snapToGrid w:val="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内存：32G DDR4 RECC 3200MHz*2；</w:t>
            </w:r>
          </w:p>
          <w:p w14:paraId="3703CBF8">
            <w:pPr>
              <w:widowControl/>
              <w:shd w:val="clear" w:fill="FFFFFF" w:themeFill="background1"/>
              <w:snapToGrid w:val="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存储：480G SSD*1+8TSATA企业*4；</w:t>
            </w:r>
          </w:p>
          <w:p w14:paraId="663AA722">
            <w:pPr>
              <w:widowControl/>
              <w:shd w:val="clear" w:fill="FFFFFF" w:themeFill="background1"/>
              <w:snapToGrid w:val="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网口：板载2个千兆以太网RJ45接口，采用国产网络芯片；</w:t>
            </w:r>
          </w:p>
          <w:p w14:paraId="2E4412EC">
            <w:pPr>
              <w:widowControl/>
              <w:shd w:val="clear" w:fill="FFFFFF" w:themeFill="background1"/>
              <w:snapToGrid w:val="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扩展插槽：最大可支持≥5个标准PCIe插槽</w:t>
            </w:r>
          </w:p>
          <w:p w14:paraId="07A5527D">
            <w:pPr>
              <w:widowControl/>
              <w:shd w:val="clear" w:fill="FFFFFF" w:themeFill="background1"/>
              <w:snapToGrid w:val="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Raid卡：配置独立RAID卡，支持RAID0/1/5/10</w:t>
            </w:r>
          </w:p>
          <w:p w14:paraId="5923AE35">
            <w:pPr>
              <w:widowControl/>
              <w:shd w:val="clear" w:fill="FFFFFF" w:themeFill="background1"/>
              <w:snapToGrid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电源：800W*2；</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银河麒麟高级服务器操作系统V10</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达梦数据库管理系统</w:t>
            </w:r>
          </w:p>
        </w:tc>
        <w:tc>
          <w:tcPr>
            <w:tcW w:w="313" w:type="pct"/>
            <w:tcBorders>
              <w:top w:val="single" w:color="000000" w:sz="4" w:space="0"/>
              <w:left w:val="nil"/>
              <w:right w:val="single" w:color="000000" w:sz="4" w:space="0"/>
            </w:tcBorders>
            <w:vAlign w:val="center"/>
          </w:tcPr>
          <w:p w14:paraId="2018CC06">
            <w:pPr>
              <w:widowControl/>
              <w:shd w:val="clear" w:fill="FFFFFF" w:themeFill="background1"/>
              <w:snapToGrid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324" w:type="pct"/>
            <w:tcBorders>
              <w:top w:val="single" w:color="000000" w:sz="4" w:space="0"/>
              <w:left w:val="nil"/>
              <w:right w:val="single" w:color="000000" w:sz="4" w:space="0"/>
            </w:tcBorders>
            <w:vAlign w:val="center"/>
          </w:tcPr>
          <w:p w14:paraId="7F6D607E">
            <w:pPr>
              <w:widowControl/>
              <w:shd w:val="clear" w:fill="FFFFFF" w:themeFill="background1"/>
              <w:snapToGrid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504" w:type="pct"/>
            <w:tcBorders>
              <w:top w:val="single" w:color="000000" w:sz="4" w:space="0"/>
              <w:left w:val="nil"/>
            </w:tcBorders>
            <w:vAlign w:val="center"/>
          </w:tcPr>
          <w:p w14:paraId="59A234D4">
            <w:pPr>
              <w:widowControl/>
              <w:shd w:val="clear" w:fill="FFFFFF" w:themeFill="background1"/>
              <w:snapToGrid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组织部业务使用</w:t>
            </w:r>
          </w:p>
        </w:tc>
      </w:tr>
    </w:tbl>
    <w:p w14:paraId="77A7FFBB">
      <w:pPr>
        <w:rPr>
          <w:rFonts w:hint="eastAsia" w:ascii="宋体" w:hAnsi="宋体" w:eastAsia="宋体" w:cs="宋体"/>
        </w:rPr>
      </w:pPr>
    </w:p>
    <w:p w14:paraId="469AC8D3">
      <w:pPr>
        <w:numPr>
          <w:ilvl w:val="0"/>
          <w:numId w:val="0"/>
        </w:numPr>
        <w:bidi w:val="0"/>
        <w:rPr>
          <w:rFonts w:hint="eastAsia" w:ascii="宋体" w:hAnsi="宋体" w:eastAsia="宋体" w:cs="宋体"/>
          <w:lang w:val="en-US" w:eastAsia="zh-CN"/>
        </w:rPr>
      </w:pPr>
      <w:r>
        <w:rPr>
          <w:rFonts w:hint="eastAsia" w:ascii="宋体" w:hAnsi="宋体" w:eastAsia="宋体" w:cs="宋体"/>
          <w:lang w:val="en-US" w:eastAsia="zh-CN"/>
        </w:rPr>
        <w:t>三、软件内容变更</w:t>
      </w:r>
    </w:p>
    <w:p w14:paraId="0C1FB2B9">
      <w:pPr>
        <w:shd w:val="clear" w:fill="FFFFFF" w:themeFill="background1"/>
        <w:outlineLvl w:val="1"/>
        <w:rPr>
          <w:rFonts w:hint="eastAsia" w:ascii="宋体" w:hAnsi="宋体" w:eastAsia="宋体" w:cs="宋体"/>
          <w:lang w:val="en-US" w:eastAsia="zh-CN"/>
        </w:rPr>
      </w:pPr>
      <w:r>
        <w:rPr>
          <w:rFonts w:hint="eastAsia" w:ascii="宋体" w:hAnsi="宋体" w:eastAsia="宋体" w:cs="宋体"/>
          <w:color w:val="auto"/>
          <w:sz w:val="21"/>
          <w:szCs w:val="21"/>
          <w:highlight w:val="none"/>
          <w:lang w:val="en-US" w:eastAsia="zh-CN"/>
        </w:rPr>
        <w:t>1.市公安局场景软件需求核减前</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192"/>
        <w:gridCol w:w="1586"/>
        <w:gridCol w:w="1537"/>
        <w:gridCol w:w="3443"/>
      </w:tblGrid>
      <w:tr w14:paraId="1B5B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4" w:type="dxa"/>
            <w:shd w:val="clear" w:color="000000" w:fill="E7E6E6"/>
            <w:vAlign w:val="center"/>
          </w:tcPr>
          <w:p w14:paraId="549BDD63">
            <w:pPr>
              <w:keepNext w:val="0"/>
              <w:keepLines w:val="0"/>
              <w:pageBreakBefore w:val="0"/>
              <w:widowControl/>
              <w:suppressLineNumbers w:val="0"/>
              <w:wordWrap/>
              <w:overflowPunct/>
              <w:topLinePunct w:val="0"/>
              <w:bidi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i w:val="0"/>
                <w:iCs w:val="0"/>
                <w:snapToGrid w:val="0"/>
                <w:color w:val="auto"/>
                <w:kern w:val="0"/>
                <w:sz w:val="20"/>
                <w:szCs w:val="20"/>
                <w:highlight w:val="none"/>
                <w:u w:val="none"/>
                <w:lang w:val="en-US" w:eastAsia="zh-CN" w:bidi="ar"/>
              </w:rPr>
              <w:t>序号</w:t>
            </w:r>
          </w:p>
        </w:tc>
        <w:tc>
          <w:tcPr>
            <w:tcW w:w="1192" w:type="dxa"/>
            <w:shd w:val="clear" w:color="000000" w:fill="E7E6E6"/>
            <w:vAlign w:val="center"/>
          </w:tcPr>
          <w:p w14:paraId="12239E0F">
            <w:pPr>
              <w:keepNext w:val="0"/>
              <w:keepLines w:val="0"/>
              <w:pageBreakBefore w:val="0"/>
              <w:widowControl/>
              <w:suppressLineNumbers w:val="0"/>
              <w:wordWrap/>
              <w:overflowPunct/>
              <w:topLinePunct w:val="0"/>
              <w:bidi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i w:val="0"/>
                <w:iCs w:val="0"/>
                <w:snapToGrid w:val="0"/>
                <w:color w:val="auto"/>
                <w:kern w:val="0"/>
                <w:sz w:val="20"/>
                <w:szCs w:val="20"/>
                <w:highlight w:val="none"/>
                <w:u w:val="none"/>
                <w:lang w:val="en-US" w:eastAsia="zh-CN" w:bidi="ar"/>
              </w:rPr>
              <w:t>系统名称</w:t>
            </w:r>
          </w:p>
        </w:tc>
        <w:tc>
          <w:tcPr>
            <w:tcW w:w="1586" w:type="dxa"/>
            <w:shd w:val="clear" w:color="000000" w:fill="E7E6E6"/>
            <w:vAlign w:val="center"/>
          </w:tcPr>
          <w:p w14:paraId="7EA02502">
            <w:pPr>
              <w:keepNext w:val="0"/>
              <w:keepLines w:val="0"/>
              <w:pageBreakBefore w:val="0"/>
              <w:widowControl/>
              <w:suppressLineNumbers w:val="0"/>
              <w:wordWrap/>
              <w:overflowPunct/>
              <w:topLinePunct w:val="0"/>
              <w:bidi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i w:val="0"/>
                <w:iCs w:val="0"/>
                <w:snapToGrid w:val="0"/>
                <w:color w:val="auto"/>
                <w:kern w:val="0"/>
                <w:sz w:val="20"/>
                <w:szCs w:val="20"/>
                <w:highlight w:val="none"/>
                <w:u w:val="none"/>
                <w:lang w:val="en-US" w:eastAsia="zh-CN" w:bidi="ar"/>
              </w:rPr>
              <w:t>功能模块名称</w:t>
            </w:r>
          </w:p>
        </w:tc>
        <w:tc>
          <w:tcPr>
            <w:tcW w:w="1537" w:type="dxa"/>
            <w:shd w:val="clear" w:color="000000" w:fill="E7E6E6"/>
            <w:vAlign w:val="center"/>
          </w:tcPr>
          <w:p w14:paraId="493BBAEB">
            <w:pPr>
              <w:keepNext w:val="0"/>
              <w:keepLines w:val="0"/>
              <w:pageBreakBefore w:val="0"/>
              <w:widowControl/>
              <w:suppressLineNumbers w:val="0"/>
              <w:wordWrap/>
              <w:overflowPunct/>
              <w:topLinePunct w:val="0"/>
              <w:bidi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i w:val="0"/>
                <w:iCs w:val="0"/>
                <w:snapToGrid w:val="0"/>
                <w:color w:val="auto"/>
                <w:kern w:val="0"/>
                <w:sz w:val="20"/>
                <w:szCs w:val="20"/>
                <w:highlight w:val="none"/>
                <w:u w:val="none"/>
                <w:lang w:val="en-US" w:eastAsia="zh-CN" w:bidi="ar"/>
              </w:rPr>
              <w:t>功能子模块名称</w:t>
            </w:r>
          </w:p>
        </w:tc>
        <w:tc>
          <w:tcPr>
            <w:tcW w:w="3443" w:type="dxa"/>
            <w:shd w:val="clear" w:color="000000" w:fill="E7E6E6"/>
            <w:vAlign w:val="center"/>
          </w:tcPr>
          <w:p w14:paraId="6C03193D">
            <w:pPr>
              <w:keepNext w:val="0"/>
              <w:keepLines w:val="0"/>
              <w:pageBreakBefore w:val="0"/>
              <w:widowControl/>
              <w:suppressLineNumbers w:val="0"/>
              <w:wordWrap/>
              <w:overflowPunct/>
              <w:topLinePunct w:val="0"/>
              <w:bidi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i w:val="0"/>
                <w:iCs w:val="0"/>
                <w:snapToGrid w:val="0"/>
                <w:color w:val="auto"/>
                <w:kern w:val="0"/>
                <w:sz w:val="20"/>
                <w:szCs w:val="20"/>
                <w:highlight w:val="none"/>
                <w:u w:val="none"/>
                <w:lang w:val="en-US" w:eastAsia="zh-CN" w:bidi="ar"/>
              </w:rPr>
              <w:t>功能说明</w:t>
            </w:r>
          </w:p>
        </w:tc>
      </w:tr>
      <w:tr w14:paraId="4B88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64" w:type="dxa"/>
            <w:vAlign w:val="center"/>
          </w:tcPr>
          <w:p w14:paraId="14EE6BC2">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restart"/>
            <w:vAlign w:val="center"/>
          </w:tcPr>
          <w:p w14:paraId="1A54AC6D">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智慧公安AI警官</w:t>
            </w:r>
          </w:p>
        </w:tc>
        <w:tc>
          <w:tcPr>
            <w:tcW w:w="1586" w:type="dxa"/>
            <w:vMerge w:val="restart"/>
            <w:vAlign w:val="center"/>
          </w:tcPr>
          <w:p w14:paraId="7193AB8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AI智能文书生成助手</w:t>
            </w:r>
          </w:p>
        </w:tc>
        <w:tc>
          <w:tcPr>
            <w:tcW w:w="1537" w:type="dxa"/>
            <w:vAlign w:val="center"/>
          </w:tcPr>
          <w:p w14:paraId="18FBDC1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行政类文书</w:t>
            </w:r>
          </w:p>
        </w:tc>
        <w:tc>
          <w:tcPr>
            <w:tcW w:w="3443" w:type="dxa"/>
            <w:vAlign w:val="center"/>
          </w:tcPr>
          <w:p w14:paraId="615BA44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行政类文书需支持殴打他人、盗窃、扰乱公共场所秩序、诈骗、故意损毁财物、卖淫嫖娼、侮辱、吸毒、赌博、纠纷等十类案由文书开具，包括行政立案登记表、行政处罚决定书和治安调解协议书开具。</w:t>
            </w:r>
          </w:p>
        </w:tc>
      </w:tr>
      <w:tr w14:paraId="5A38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764" w:type="dxa"/>
            <w:vAlign w:val="center"/>
          </w:tcPr>
          <w:p w14:paraId="6D569069">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3015BE13">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1A433150">
            <w:pPr>
              <w:widowControl/>
              <w:jc w:val="left"/>
              <w:rPr>
                <w:rFonts w:hint="eastAsia" w:ascii="宋体" w:hAnsi="宋体" w:eastAsia="宋体" w:cs="宋体"/>
                <w:color w:val="auto"/>
                <w:kern w:val="0"/>
                <w:sz w:val="20"/>
                <w:szCs w:val="20"/>
                <w:highlight w:val="none"/>
              </w:rPr>
            </w:pPr>
          </w:p>
        </w:tc>
        <w:tc>
          <w:tcPr>
            <w:tcW w:w="1537" w:type="dxa"/>
            <w:vAlign w:val="center"/>
          </w:tcPr>
          <w:p w14:paraId="4369178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刑事类文书</w:t>
            </w:r>
          </w:p>
        </w:tc>
        <w:tc>
          <w:tcPr>
            <w:tcW w:w="3443" w:type="dxa"/>
            <w:vAlign w:val="center"/>
          </w:tcPr>
          <w:p w14:paraId="5B121AC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刑事类文书需支持诈骗罪、盗窃罪、危险驾驶罪、敲诈勒索罪、帮助信息网络犯罪活动罪、开设赌场罪、故意伤害罪、掩饰、隐瞒犯罪所得、寻衅滋事罪、强奸罪十类案由文书开具，包括受案登记表、呈请立案报告书、呈请立案报告书、呈请查询财产报告书、呈请协助冻结/解除冻结财产报告书、呈请取保候审报告书、呈请拘留报告书、提请批准逮捕书、呈请提请批准逮捕报告书、起诉意见书、呈请移送起诉报告书等。</w:t>
            </w:r>
          </w:p>
        </w:tc>
      </w:tr>
      <w:tr w14:paraId="18A7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00B8212A">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3B331A79">
            <w:pPr>
              <w:widowControl/>
              <w:jc w:val="left"/>
              <w:rPr>
                <w:rFonts w:hint="eastAsia" w:ascii="宋体" w:hAnsi="宋体" w:eastAsia="宋体" w:cs="宋体"/>
                <w:color w:val="auto"/>
                <w:kern w:val="0"/>
                <w:sz w:val="22"/>
                <w:szCs w:val="22"/>
                <w:highlight w:val="none"/>
              </w:rPr>
            </w:pPr>
          </w:p>
        </w:tc>
        <w:tc>
          <w:tcPr>
            <w:tcW w:w="1586" w:type="dxa"/>
            <w:vMerge w:val="restart"/>
            <w:vAlign w:val="center"/>
          </w:tcPr>
          <w:p w14:paraId="6493130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AI智能笔录分析助手</w:t>
            </w:r>
          </w:p>
        </w:tc>
        <w:tc>
          <w:tcPr>
            <w:tcW w:w="1537" w:type="dxa"/>
            <w:vAlign w:val="center"/>
          </w:tcPr>
          <w:p w14:paraId="61177F1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讯询问问话提纲推荐</w:t>
            </w:r>
          </w:p>
        </w:tc>
        <w:tc>
          <w:tcPr>
            <w:tcW w:w="3443" w:type="dxa"/>
            <w:vAlign w:val="center"/>
          </w:tcPr>
          <w:p w14:paraId="4D8F576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需包含讯询问问话提纲推荐、提纲问话匹配、问话向量化、推荐问话排序、重新匹配、问话数排序、问话模版管理、复制插入、提纲问话知识库能力。</w:t>
            </w:r>
          </w:p>
        </w:tc>
      </w:tr>
      <w:tr w14:paraId="2B26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28D33EF0">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553C5F0C">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63F0B6F2">
            <w:pPr>
              <w:widowControl/>
              <w:jc w:val="left"/>
              <w:rPr>
                <w:rFonts w:hint="eastAsia" w:ascii="宋体" w:hAnsi="宋体" w:eastAsia="宋体" w:cs="宋体"/>
                <w:color w:val="auto"/>
                <w:kern w:val="0"/>
                <w:sz w:val="20"/>
                <w:szCs w:val="20"/>
                <w:highlight w:val="none"/>
              </w:rPr>
            </w:pPr>
          </w:p>
        </w:tc>
        <w:tc>
          <w:tcPr>
            <w:tcW w:w="1537" w:type="dxa"/>
            <w:vAlign w:val="center"/>
          </w:tcPr>
          <w:p w14:paraId="7652704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笔录串并案</w:t>
            </w:r>
          </w:p>
        </w:tc>
        <w:tc>
          <w:tcPr>
            <w:tcW w:w="3443" w:type="dxa"/>
            <w:vAlign w:val="center"/>
          </w:tcPr>
          <w:p w14:paraId="28DC218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需支持在审讯过程中实时抽取16种指向性要素和4种作案特征要素，实现相同要素笔录的归聚，为笔录的串并案分析提供数据支撑。</w:t>
            </w:r>
          </w:p>
        </w:tc>
      </w:tr>
      <w:tr w14:paraId="35D1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67ACF130">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lang w:val="en-US" w:eastAsia="zh-CN"/>
              </w:rPr>
            </w:pPr>
          </w:p>
        </w:tc>
        <w:tc>
          <w:tcPr>
            <w:tcW w:w="1192" w:type="dxa"/>
            <w:vMerge w:val="continue"/>
            <w:vAlign w:val="center"/>
          </w:tcPr>
          <w:p w14:paraId="2D590A42">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7638E200">
            <w:pPr>
              <w:widowControl/>
              <w:jc w:val="left"/>
              <w:rPr>
                <w:rFonts w:hint="eastAsia" w:ascii="宋体" w:hAnsi="宋体" w:eastAsia="宋体" w:cs="宋体"/>
                <w:color w:val="auto"/>
                <w:kern w:val="0"/>
                <w:sz w:val="20"/>
                <w:szCs w:val="20"/>
                <w:highlight w:val="none"/>
              </w:rPr>
            </w:pPr>
          </w:p>
        </w:tc>
        <w:tc>
          <w:tcPr>
            <w:tcW w:w="1537" w:type="dxa"/>
            <w:vAlign w:val="center"/>
          </w:tcPr>
          <w:p w14:paraId="32F14F76">
            <w:pPr>
              <w:widowControl/>
              <w:jc w:val="left"/>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bidi="ar"/>
              </w:rPr>
              <w:t>笔录分析</w:t>
            </w:r>
          </w:p>
        </w:tc>
        <w:tc>
          <w:tcPr>
            <w:tcW w:w="3443" w:type="dxa"/>
            <w:vAlign w:val="center"/>
          </w:tcPr>
          <w:p w14:paraId="2BCDDCB7">
            <w:pPr>
              <w:widowControl/>
              <w:jc w:val="left"/>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需支持</w:t>
            </w:r>
            <w:r>
              <w:rPr>
                <w:rFonts w:hint="eastAsia" w:ascii="宋体" w:hAnsi="宋体" w:eastAsia="宋体" w:cs="宋体"/>
                <w:snapToGrid w:val="0"/>
                <w:color w:val="auto"/>
                <w:kern w:val="0"/>
                <w:sz w:val="20"/>
                <w:szCs w:val="20"/>
                <w:highlight w:val="none"/>
                <w:lang w:bidi="ar"/>
              </w:rPr>
              <w:t>侦查取证线索结果信息</w:t>
            </w:r>
            <w:r>
              <w:rPr>
                <w:rFonts w:hint="eastAsia" w:ascii="宋体" w:hAnsi="宋体" w:eastAsia="宋体" w:cs="宋体"/>
                <w:snapToGrid w:val="0"/>
                <w:color w:val="auto"/>
                <w:kern w:val="0"/>
                <w:sz w:val="20"/>
                <w:szCs w:val="20"/>
                <w:highlight w:val="none"/>
                <w:lang w:eastAsia="zh-CN" w:bidi="ar"/>
              </w:rPr>
              <w:t>、</w:t>
            </w:r>
            <w:r>
              <w:rPr>
                <w:rFonts w:hint="eastAsia" w:ascii="宋体" w:hAnsi="宋体" w:eastAsia="宋体" w:cs="宋体"/>
                <w:snapToGrid w:val="0"/>
                <w:color w:val="auto"/>
                <w:kern w:val="0"/>
                <w:sz w:val="20"/>
                <w:szCs w:val="20"/>
                <w:highlight w:val="none"/>
                <w:lang w:bidi="ar"/>
              </w:rPr>
              <w:t>人员关系结果信息</w:t>
            </w:r>
            <w:r>
              <w:rPr>
                <w:rFonts w:hint="eastAsia" w:ascii="宋体" w:hAnsi="宋体" w:eastAsia="宋体" w:cs="宋体"/>
                <w:snapToGrid w:val="0"/>
                <w:color w:val="auto"/>
                <w:kern w:val="0"/>
                <w:sz w:val="20"/>
                <w:szCs w:val="20"/>
                <w:highlight w:val="none"/>
                <w:lang w:eastAsia="zh-CN" w:bidi="ar"/>
              </w:rPr>
              <w:t>、</w:t>
            </w:r>
            <w:r>
              <w:rPr>
                <w:rFonts w:hint="eastAsia" w:ascii="宋体" w:hAnsi="宋体" w:eastAsia="宋体" w:cs="宋体"/>
                <w:snapToGrid w:val="0"/>
                <w:color w:val="auto"/>
                <w:kern w:val="0"/>
                <w:sz w:val="20"/>
                <w:szCs w:val="20"/>
                <w:highlight w:val="none"/>
                <w:lang w:bidi="ar"/>
              </w:rPr>
              <w:t>涉案资金结果信息</w:t>
            </w:r>
            <w:r>
              <w:rPr>
                <w:rFonts w:hint="eastAsia" w:ascii="宋体" w:hAnsi="宋体" w:eastAsia="宋体" w:cs="宋体"/>
                <w:snapToGrid w:val="0"/>
                <w:color w:val="auto"/>
                <w:kern w:val="0"/>
                <w:sz w:val="20"/>
                <w:szCs w:val="20"/>
                <w:highlight w:val="none"/>
                <w:lang w:eastAsia="zh-CN" w:bidi="ar"/>
              </w:rPr>
              <w:t>、</w:t>
            </w:r>
            <w:r>
              <w:rPr>
                <w:rFonts w:hint="eastAsia" w:ascii="宋体" w:hAnsi="宋体" w:eastAsia="宋体" w:cs="宋体"/>
                <w:snapToGrid w:val="0"/>
                <w:color w:val="auto"/>
                <w:kern w:val="0"/>
                <w:sz w:val="20"/>
                <w:szCs w:val="20"/>
                <w:highlight w:val="none"/>
                <w:lang w:bidi="ar"/>
              </w:rPr>
              <w:t>供述不一致检测结果信息</w:t>
            </w:r>
          </w:p>
        </w:tc>
      </w:tr>
      <w:tr w14:paraId="4C6C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4" w:type="dxa"/>
            <w:vAlign w:val="center"/>
          </w:tcPr>
          <w:p w14:paraId="08DA8795">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lang w:eastAsia="zh-CN"/>
              </w:rPr>
            </w:pPr>
          </w:p>
        </w:tc>
        <w:tc>
          <w:tcPr>
            <w:tcW w:w="1192" w:type="dxa"/>
            <w:vMerge w:val="restart"/>
            <w:vAlign w:val="center"/>
          </w:tcPr>
          <w:p w14:paraId="40EDFB7E">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智慧侦查系统</w:t>
            </w:r>
          </w:p>
        </w:tc>
        <w:tc>
          <w:tcPr>
            <w:tcW w:w="1586" w:type="dxa"/>
            <w:vMerge w:val="restart"/>
            <w:vAlign w:val="center"/>
          </w:tcPr>
          <w:p w14:paraId="517C696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基础管理平台</w:t>
            </w:r>
          </w:p>
        </w:tc>
        <w:tc>
          <w:tcPr>
            <w:tcW w:w="1537" w:type="dxa"/>
            <w:vAlign w:val="center"/>
          </w:tcPr>
          <w:p w14:paraId="107A4B2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用户信息管理</w:t>
            </w:r>
          </w:p>
        </w:tc>
        <w:tc>
          <w:tcPr>
            <w:tcW w:w="3443" w:type="dxa"/>
            <w:vAlign w:val="center"/>
          </w:tcPr>
          <w:p w14:paraId="08005EF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需支持包含用户名、密码、姓名、警号、职务等用户信息的管理维护。</w:t>
            </w:r>
          </w:p>
        </w:tc>
      </w:tr>
      <w:tr w14:paraId="2F75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4" w:type="dxa"/>
            <w:vAlign w:val="center"/>
          </w:tcPr>
          <w:p w14:paraId="4A5B54A1">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lang w:eastAsia="zh-CN"/>
              </w:rPr>
            </w:pPr>
          </w:p>
        </w:tc>
        <w:tc>
          <w:tcPr>
            <w:tcW w:w="1192" w:type="dxa"/>
            <w:vMerge w:val="continue"/>
            <w:vAlign w:val="center"/>
          </w:tcPr>
          <w:p w14:paraId="21F765A4">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010C58CA">
            <w:pPr>
              <w:widowControl/>
              <w:jc w:val="left"/>
              <w:rPr>
                <w:rFonts w:hint="eastAsia" w:ascii="宋体" w:hAnsi="宋体" w:eastAsia="宋体" w:cs="宋体"/>
                <w:color w:val="auto"/>
                <w:kern w:val="0"/>
                <w:sz w:val="20"/>
                <w:szCs w:val="20"/>
                <w:highlight w:val="none"/>
              </w:rPr>
            </w:pPr>
          </w:p>
        </w:tc>
        <w:tc>
          <w:tcPr>
            <w:tcW w:w="1537" w:type="dxa"/>
            <w:vAlign w:val="center"/>
          </w:tcPr>
          <w:p w14:paraId="2F6F9C1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单位信息</w:t>
            </w:r>
          </w:p>
        </w:tc>
        <w:tc>
          <w:tcPr>
            <w:tcW w:w="3443" w:type="dxa"/>
            <w:vAlign w:val="center"/>
          </w:tcPr>
          <w:p w14:paraId="72574EF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需支持包含单位名称、单位代码等单位信息的管理维护。</w:t>
            </w:r>
          </w:p>
        </w:tc>
      </w:tr>
      <w:tr w14:paraId="6D92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61A814E0">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lang w:eastAsia="zh-CN"/>
              </w:rPr>
            </w:pPr>
          </w:p>
        </w:tc>
        <w:tc>
          <w:tcPr>
            <w:tcW w:w="1192" w:type="dxa"/>
            <w:vMerge w:val="continue"/>
            <w:vAlign w:val="center"/>
          </w:tcPr>
          <w:p w14:paraId="49F25B6C">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64A690E6">
            <w:pPr>
              <w:widowControl/>
              <w:jc w:val="left"/>
              <w:rPr>
                <w:rFonts w:hint="eastAsia" w:ascii="宋体" w:hAnsi="宋体" w:eastAsia="宋体" w:cs="宋体"/>
                <w:color w:val="auto"/>
                <w:kern w:val="0"/>
                <w:sz w:val="20"/>
                <w:szCs w:val="20"/>
                <w:highlight w:val="none"/>
              </w:rPr>
            </w:pPr>
          </w:p>
        </w:tc>
        <w:tc>
          <w:tcPr>
            <w:tcW w:w="1537" w:type="dxa"/>
            <w:vAlign w:val="center"/>
          </w:tcPr>
          <w:p w14:paraId="07D37AF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模型信息</w:t>
            </w:r>
          </w:p>
        </w:tc>
        <w:tc>
          <w:tcPr>
            <w:tcW w:w="3443" w:type="dxa"/>
            <w:vAlign w:val="center"/>
          </w:tcPr>
          <w:p w14:paraId="0779B85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需支持包含模型名称、访问路径、访问密钥、 描述等模型信息的管理维护。</w:t>
            </w:r>
          </w:p>
        </w:tc>
      </w:tr>
      <w:tr w14:paraId="0BE3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4" w:type="dxa"/>
            <w:vAlign w:val="center"/>
          </w:tcPr>
          <w:p w14:paraId="0A8113AB">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lang w:eastAsia="zh-CN"/>
              </w:rPr>
            </w:pPr>
          </w:p>
        </w:tc>
        <w:tc>
          <w:tcPr>
            <w:tcW w:w="1192" w:type="dxa"/>
            <w:vMerge w:val="continue"/>
            <w:vAlign w:val="center"/>
          </w:tcPr>
          <w:p w14:paraId="6ADD007A">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138A8209">
            <w:pPr>
              <w:widowControl/>
              <w:jc w:val="left"/>
              <w:rPr>
                <w:rFonts w:hint="eastAsia" w:ascii="宋体" w:hAnsi="宋体" w:eastAsia="宋体" w:cs="宋体"/>
                <w:color w:val="auto"/>
                <w:kern w:val="0"/>
                <w:sz w:val="20"/>
                <w:szCs w:val="20"/>
                <w:highlight w:val="none"/>
              </w:rPr>
            </w:pPr>
          </w:p>
        </w:tc>
        <w:tc>
          <w:tcPr>
            <w:tcW w:w="1537" w:type="dxa"/>
            <w:vAlign w:val="center"/>
          </w:tcPr>
          <w:p w14:paraId="265DBF0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权限信息</w:t>
            </w:r>
          </w:p>
        </w:tc>
        <w:tc>
          <w:tcPr>
            <w:tcW w:w="3443" w:type="dxa"/>
            <w:vAlign w:val="center"/>
          </w:tcPr>
          <w:p w14:paraId="27BC017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需支持包含角色、模型分配等信息权限信息的管理维护。</w:t>
            </w:r>
          </w:p>
        </w:tc>
      </w:tr>
      <w:tr w14:paraId="2185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68476E09">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27940C1F">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5E5E1E3A">
            <w:pPr>
              <w:widowControl/>
              <w:jc w:val="left"/>
              <w:rPr>
                <w:rFonts w:hint="eastAsia" w:ascii="宋体" w:hAnsi="宋体" w:eastAsia="宋体" w:cs="宋体"/>
                <w:color w:val="auto"/>
                <w:kern w:val="0"/>
                <w:sz w:val="20"/>
                <w:szCs w:val="20"/>
                <w:highlight w:val="none"/>
              </w:rPr>
            </w:pPr>
          </w:p>
        </w:tc>
        <w:tc>
          <w:tcPr>
            <w:tcW w:w="1537" w:type="dxa"/>
            <w:vAlign w:val="center"/>
          </w:tcPr>
          <w:p w14:paraId="667A75A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日志审计</w:t>
            </w:r>
          </w:p>
        </w:tc>
        <w:tc>
          <w:tcPr>
            <w:tcW w:w="3443" w:type="dxa"/>
            <w:vAlign w:val="center"/>
          </w:tcPr>
          <w:p w14:paraId="7883272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需支持包含日志类型、日志信息、创建时间等用户使用模型过程中产生的访问记录和问题内容进行记录和分析。</w:t>
            </w:r>
          </w:p>
        </w:tc>
      </w:tr>
      <w:tr w14:paraId="3069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4" w:type="dxa"/>
            <w:vAlign w:val="center"/>
          </w:tcPr>
          <w:p w14:paraId="560030B9">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0587F5D0">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7AC9155B">
            <w:pPr>
              <w:widowControl/>
              <w:jc w:val="left"/>
              <w:rPr>
                <w:rFonts w:hint="eastAsia" w:ascii="宋体" w:hAnsi="宋体" w:eastAsia="宋体" w:cs="宋体"/>
                <w:color w:val="auto"/>
                <w:kern w:val="0"/>
                <w:sz w:val="20"/>
                <w:szCs w:val="20"/>
                <w:highlight w:val="none"/>
              </w:rPr>
            </w:pPr>
          </w:p>
        </w:tc>
        <w:tc>
          <w:tcPr>
            <w:tcW w:w="1537" w:type="dxa"/>
            <w:vAlign w:val="center"/>
          </w:tcPr>
          <w:p w14:paraId="704B1B4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敏感词过滤</w:t>
            </w:r>
          </w:p>
        </w:tc>
        <w:tc>
          <w:tcPr>
            <w:tcW w:w="3443" w:type="dxa"/>
            <w:vAlign w:val="center"/>
          </w:tcPr>
          <w:p w14:paraId="7F1702F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需支持包含敏感词内容、创建时间等用户管理敏感词的管理维护。</w:t>
            </w:r>
          </w:p>
        </w:tc>
      </w:tr>
      <w:tr w14:paraId="18F6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4" w:type="dxa"/>
            <w:vAlign w:val="center"/>
          </w:tcPr>
          <w:p w14:paraId="23769688">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2B505FAA">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4E55CD01">
            <w:pPr>
              <w:widowControl/>
              <w:jc w:val="left"/>
              <w:rPr>
                <w:rFonts w:hint="eastAsia" w:ascii="宋体" w:hAnsi="宋体" w:eastAsia="宋体" w:cs="宋体"/>
                <w:color w:val="auto"/>
                <w:kern w:val="0"/>
                <w:sz w:val="20"/>
                <w:szCs w:val="20"/>
                <w:highlight w:val="none"/>
              </w:rPr>
            </w:pPr>
          </w:p>
        </w:tc>
        <w:tc>
          <w:tcPr>
            <w:tcW w:w="1537" w:type="dxa"/>
            <w:vAlign w:val="center"/>
          </w:tcPr>
          <w:p w14:paraId="430026A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用户反馈</w:t>
            </w:r>
          </w:p>
        </w:tc>
        <w:tc>
          <w:tcPr>
            <w:tcW w:w="3443" w:type="dxa"/>
            <w:vAlign w:val="center"/>
          </w:tcPr>
          <w:p w14:paraId="17969BC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需支持包括收藏、提问等用户反馈信息。</w:t>
            </w:r>
          </w:p>
        </w:tc>
      </w:tr>
      <w:tr w14:paraId="6DE8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24696DBB">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2E1D8767">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47A9F8AF">
            <w:pPr>
              <w:widowControl/>
              <w:jc w:val="left"/>
              <w:rPr>
                <w:rFonts w:hint="eastAsia" w:ascii="宋体" w:hAnsi="宋体" w:eastAsia="宋体" w:cs="宋体"/>
                <w:color w:val="auto"/>
                <w:kern w:val="0"/>
                <w:sz w:val="20"/>
                <w:szCs w:val="20"/>
                <w:highlight w:val="none"/>
              </w:rPr>
            </w:pPr>
          </w:p>
        </w:tc>
        <w:tc>
          <w:tcPr>
            <w:tcW w:w="1537" w:type="dxa"/>
            <w:vAlign w:val="center"/>
          </w:tcPr>
          <w:p w14:paraId="5E15760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外部系统对接</w:t>
            </w:r>
          </w:p>
        </w:tc>
        <w:tc>
          <w:tcPr>
            <w:tcW w:w="3443" w:type="dxa"/>
            <w:vAlign w:val="center"/>
          </w:tcPr>
          <w:p w14:paraId="166A6DA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需支持访问统一认证平台获取单位基本信息、用户信息等基础信息，对接PKI认证平台进行身份认证。</w:t>
            </w:r>
          </w:p>
        </w:tc>
      </w:tr>
      <w:tr w14:paraId="77F1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6703E637">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7E47D136">
            <w:pPr>
              <w:widowControl/>
              <w:jc w:val="left"/>
              <w:rPr>
                <w:rFonts w:hint="eastAsia" w:ascii="宋体" w:hAnsi="宋体" w:eastAsia="宋体" w:cs="宋体"/>
                <w:color w:val="auto"/>
                <w:kern w:val="0"/>
                <w:sz w:val="22"/>
                <w:szCs w:val="22"/>
                <w:highlight w:val="none"/>
              </w:rPr>
            </w:pPr>
          </w:p>
        </w:tc>
        <w:tc>
          <w:tcPr>
            <w:tcW w:w="1586" w:type="dxa"/>
            <w:vMerge w:val="restart"/>
            <w:vAlign w:val="center"/>
          </w:tcPr>
          <w:p w14:paraId="07DF2C7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超Y智能体</w:t>
            </w:r>
          </w:p>
        </w:tc>
        <w:tc>
          <w:tcPr>
            <w:tcW w:w="1537" w:type="dxa"/>
            <w:vAlign w:val="center"/>
          </w:tcPr>
          <w:p w14:paraId="376FF86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研判比对任务管理</w:t>
            </w:r>
          </w:p>
        </w:tc>
        <w:tc>
          <w:tcPr>
            <w:tcW w:w="3443" w:type="dxa"/>
            <w:vAlign w:val="center"/>
          </w:tcPr>
          <w:p w14:paraId="33F0483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需支持包含id，案件编号、案件名称、比对时间、案发地址、容差值等的研判比对任务信息的管理维护。</w:t>
            </w:r>
          </w:p>
        </w:tc>
      </w:tr>
      <w:tr w14:paraId="577B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0CB8944F">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40B497DC">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4F9A14D8">
            <w:pPr>
              <w:widowControl/>
              <w:jc w:val="left"/>
              <w:rPr>
                <w:rFonts w:hint="eastAsia" w:ascii="宋体" w:hAnsi="宋体" w:eastAsia="宋体" w:cs="宋体"/>
                <w:color w:val="auto"/>
                <w:kern w:val="0"/>
                <w:sz w:val="20"/>
                <w:szCs w:val="20"/>
                <w:highlight w:val="none"/>
              </w:rPr>
            </w:pPr>
          </w:p>
        </w:tc>
        <w:tc>
          <w:tcPr>
            <w:tcW w:w="1537" w:type="dxa"/>
            <w:vAlign w:val="center"/>
          </w:tcPr>
          <w:p w14:paraId="69520FD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分析研判源数据管理</w:t>
            </w:r>
          </w:p>
        </w:tc>
        <w:tc>
          <w:tcPr>
            <w:tcW w:w="3443" w:type="dxa"/>
            <w:vAlign w:val="center"/>
          </w:tcPr>
          <w:p w14:paraId="690D66F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需支持通过案件编号、案件受理号、现勘号获取案件基本信息列表，供用户选择需要用于后续数据分析的具体案件。</w:t>
            </w:r>
          </w:p>
        </w:tc>
      </w:tr>
      <w:tr w14:paraId="6CF2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64" w:type="dxa"/>
            <w:vAlign w:val="center"/>
          </w:tcPr>
          <w:p w14:paraId="3F4A9302">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47ABB4A9">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7B66608C">
            <w:pPr>
              <w:widowControl/>
              <w:jc w:val="left"/>
              <w:rPr>
                <w:rFonts w:hint="eastAsia" w:ascii="宋体" w:hAnsi="宋体" w:eastAsia="宋体" w:cs="宋体"/>
                <w:color w:val="auto"/>
                <w:kern w:val="0"/>
                <w:sz w:val="20"/>
                <w:szCs w:val="20"/>
                <w:highlight w:val="none"/>
              </w:rPr>
            </w:pPr>
          </w:p>
        </w:tc>
        <w:tc>
          <w:tcPr>
            <w:tcW w:w="1537" w:type="dxa"/>
            <w:vAlign w:val="center"/>
          </w:tcPr>
          <w:p w14:paraId="6942456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数据分析研判</w:t>
            </w:r>
          </w:p>
        </w:tc>
        <w:tc>
          <w:tcPr>
            <w:tcW w:w="3443" w:type="dxa"/>
            <w:vAlign w:val="center"/>
          </w:tcPr>
          <w:p w14:paraId="7449D13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任务执行时间、频次、步骤等信息管理维护，铁路、交管、民航等多渠道数据来源配置管理，火车订票、汽车订票等数据种类及字段对照关系建立与维护，基于研判比对任务及人员信息调用轨迹分析能力，获取郑州市内比中人员活动轨迹，实现特定人员行踪追踪分析。</w:t>
            </w:r>
          </w:p>
        </w:tc>
      </w:tr>
      <w:tr w14:paraId="65DD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64" w:type="dxa"/>
            <w:vAlign w:val="center"/>
          </w:tcPr>
          <w:p w14:paraId="4E47E85E">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6FDE1E95">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65449F7E">
            <w:pPr>
              <w:widowControl/>
              <w:jc w:val="left"/>
              <w:rPr>
                <w:rFonts w:hint="eastAsia" w:ascii="宋体" w:hAnsi="宋体" w:eastAsia="宋体" w:cs="宋体"/>
                <w:color w:val="auto"/>
                <w:kern w:val="0"/>
                <w:sz w:val="20"/>
                <w:szCs w:val="20"/>
                <w:highlight w:val="none"/>
              </w:rPr>
            </w:pPr>
          </w:p>
        </w:tc>
        <w:tc>
          <w:tcPr>
            <w:tcW w:w="1537" w:type="dxa"/>
            <w:vAlign w:val="center"/>
          </w:tcPr>
          <w:p w14:paraId="25A90E1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研判结果管理</w:t>
            </w:r>
          </w:p>
        </w:tc>
        <w:tc>
          <w:tcPr>
            <w:tcW w:w="3443" w:type="dxa"/>
            <w:vAlign w:val="center"/>
          </w:tcPr>
          <w:p w14:paraId="153FC82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需支持任务 id、案件编号、姓名、身份证号、轨迹地址、轨迹时间、轨迹类型等研判比对结果的管理维护，并实现人员信息、研判结果涉及点位信息的上图展示与交互操作。</w:t>
            </w:r>
          </w:p>
        </w:tc>
      </w:tr>
      <w:tr w14:paraId="32E7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39CEB5C7">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1BA96744">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14F86FEB">
            <w:pPr>
              <w:widowControl/>
              <w:jc w:val="left"/>
              <w:rPr>
                <w:rFonts w:hint="eastAsia" w:ascii="宋体" w:hAnsi="宋体" w:eastAsia="宋体" w:cs="宋体"/>
                <w:color w:val="auto"/>
                <w:kern w:val="0"/>
                <w:sz w:val="20"/>
                <w:szCs w:val="20"/>
                <w:highlight w:val="none"/>
              </w:rPr>
            </w:pPr>
          </w:p>
        </w:tc>
        <w:tc>
          <w:tcPr>
            <w:tcW w:w="1537" w:type="dxa"/>
            <w:vAlign w:val="center"/>
          </w:tcPr>
          <w:p w14:paraId="48EA741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策略管理</w:t>
            </w:r>
          </w:p>
        </w:tc>
        <w:tc>
          <w:tcPr>
            <w:tcW w:w="3443" w:type="dxa"/>
            <w:vAlign w:val="center"/>
          </w:tcPr>
          <w:p w14:paraId="71E8E07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需支持根据用户交互内容分派外部系统接口调用，维护用户意图与数据分析流程的对照关系信息，以及关联用户语言交互中的字段与任务内容。</w:t>
            </w:r>
          </w:p>
        </w:tc>
      </w:tr>
      <w:tr w14:paraId="764B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4" w:type="dxa"/>
            <w:vAlign w:val="center"/>
          </w:tcPr>
          <w:p w14:paraId="1E8B9C2D">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198A1DAF">
            <w:pPr>
              <w:widowControl/>
              <w:jc w:val="left"/>
              <w:rPr>
                <w:rFonts w:hint="eastAsia" w:ascii="宋体" w:hAnsi="宋体" w:eastAsia="宋体" w:cs="宋体"/>
                <w:color w:val="auto"/>
                <w:kern w:val="0"/>
                <w:sz w:val="22"/>
                <w:szCs w:val="22"/>
                <w:highlight w:val="none"/>
              </w:rPr>
            </w:pPr>
          </w:p>
        </w:tc>
        <w:tc>
          <w:tcPr>
            <w:tcW w:w="1586" w:type="dxa"/>
            <w:vMerge w:val="restart"/>
            <w:vAlign w:val="center"/>
          </w:tcPr>
          <w:p w14:paraId="130B150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金析为证子系统</w:t>
            </w:r>
          </w:p>
        </w:tc>
        <w:tc>
          <w:tcPr>
            <w:tcW w:w="1537" w:type="dxa"/>
            <w:vAlign w:val="center"/>
          </w:tcPr>
          <w:p w14:paraId="12286FD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案件信息管理</w:t>
            </w:r>
          </w:p>
        </w:tc>
        <w:tc>
          <w:tcPr>
            <w:tcW w:w="3443" w:type="dxa"/>
            <w:vAlign w:val="center"/>
          </w:tcPr>
          <w:p w14:paraId="1199DB2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需支持经济案件的基本信息录入、查询和管理。</w:t>
            </w:r>
          </w:p>
        </w:tc>
      </w:tr>
      <w:tr w14:paraId="6F58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64" w:type="dxa"/>
            <w:vAlign w:val="center"/>
          </w:tcPr>
          <w:p w14:paraId="723A0817">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0DF07BA3">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10173B49">
            <w:pPr>
              <w:widowControl/>
              <w:jc w:val="left"/>
              <w:rPr>
                <w:rFonts w:hint="eastAsia" w:ascii="宋体" w:hAnsi="宋体" w:eastAsia="宋体" w:cs="宋体"/>
                <w:color w:val="auto"/>
                <w:kern w:val="0"/>
                <w:sz w:val="20"/>
                <w:szCs w:val="20"/>
                <w:highlight w:val="none"/>
              </w:rPr>
            </w:pPr>
          </w:p>
        </w:tc>
        <w:tc>
          <w:tcPr>
            <w:tcW w:w="1537" w:type="dxa"/>
            <w:vAlign w:val="center"/>
          </w:tcPr>
          <w:p w14:paraId="5CA2A10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人员资金流水管理</w:t>
            </w:r>
          </w:p>
        </w:tc>
        <w:tc>
          <w:tcPr>
            <w:tcW w:w="3443" w:type="dxa"/>
            <w:vAlign w:val="center"/>
          </w:tcPr>
          <w:p w14:paraId="40D6B17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人员资金流水管理模块主要用于涉案人员资金流水信息的管理。该模块需支持涉案人员资金流水信息的批量导入，用户可以方便地将资金流水数据导入系统。</w:t>
            </w:r>
          </w:p>
        </w:tc>
      </w:tr>
      <w:tr w14:paraId="0331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64" w:type="dxa"/>
            <w:vAlign w:val="center"/>
          </w:tcPr>
          <w:p w14:paraId="693D85FE">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1AF4FFFF">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1EE3F07C">
            <w:pPr>
              <w:widowControl/>
              <w:jc w:val="left"/>
              <w:rPr>
                <w:rFonts w:hint="eastAsia" w:ascii="宋体" w:hAnsi="宋体" w:eastAsia="宋体" w:cs="宋体"/>
                <w:color w:val="auto"/>
                <w:kern w:val="0"/>
                <w:sz w:val="20"/>
                <w:szCs w:val="20"/>
                <w:highlight w:val="none"/>
              </w:rPr>
            </w:pPr>
          </w:p>
        </w:tc>
        <w:tc>
          <w:tcPr>
            <w:tcW w:w="1537" w:type="dxa"/>
            <w:vAlign w:val="center"/>
          </w:tcPr>
          <w:p w14:paraId="3A7A14C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案件主要关系人资金流转分析</w:t>
            </w:r>
          </w:p>
        </w:tc>
        <w:tc>
          <w:tcPr>
            <w:tcW w:w="3443" w:type="dxa"/>
            <w:vAlign w:val="center"/>
          </w:tcPr>
          <w:p w14:paraId="46AF2FD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通过导入其资金流转记录，系统能够清晰展示资金流转路径，并识别异常交易特征，如大额交易、频繁交易、异常时间交易等。同时，该模块还支持关联账户挖掘功能，帮助用户发现潜在的关联账户，揭示资金流动的复杂关系。分析结果可以通过可视化形式展示，直观呈现资金流转的全貌。</w:t>
            </w:r>
          </w:p>
        </w:tc>
      </w:tr>
      <w:tr w14:paraId="7684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204F8DDA">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2688C31C">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65D18B35">
            <w:pPr>
              <w:widowControl/>
              <w:jc w:val="left"/>
              <w:rPr>
                <w:rFonts w:hint="eastAsia" w:ascii="宋体" w:hAnsi="宋体" w:eastAsia="宋体" w:cs="宋体"/>
                <w:color w:val="auto"/>
                <w:kern w:val="0"/>
                <w:sz w:val="20"/>
                <w:szCs w:val="20"/>
                <w:highlight w:val="none"/>
              </w:rPr>
            </w:pPr>
          </w:p>
        </w:tc>
        <w:tc>
          <w:tcPr>
            <w:tcW w:w="1537" w:type="dxa"/>
            <w:vAlign w:val="center"/>
          </w:tcPr>
          <w:p w14:paraId="3F3DBA2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案件关系人资金流转分析</w:t>
            </w:r>
          </w:p>
        </w:tc>
        <w:tc>
          <w:tcPr>
            <w:tcW w:w="3443" w:type="dxa"/>
            <w:vAlign w:val="center"/>
          </w:tcPr>
          <w:p w14:paraId="1BDFA20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需支持对关系人交易进行分析，提供交易金额、交易频率、交易时间等多维度的分析功能，帮助用户全面了解指定关系人的资金流动情况。</w:t>
            </w:r>
          </w:p>
        </w:tc>
      </w:tr>
      <w:tr w14:paraId="6F07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28F4D71E">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35DB555E">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6836471F">
            <w:pPr>
              <w:widowControl/>
              <w:jc w:val="left"/>
              <w:rPr>
                <w:rFonts w:hint="eastAsia" w:ascii="宋体" w:hAnsi="宋体" w:eastAsia="宋体" w:cs="宋体"/>
                <w:color w:val="auto"/>
                <w:kern w:val="0"/>
                <w:sz w:val="20"/>
                <w:szCs w:val="20"/>
                <w:highlight w:val="none"/>
              </w:rPr>
            </w:pPr>
          </w:p>
        </w:tc>
        <w:tc>
          <w:tcPr>
            <w:tcW w:w="1537" w:type="dxa"/>
            <w:vAlign w:val="center"/>
          </w:tcPr>
          <w:p w14:paraId="3CCA0EE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案件关系人之间资金流转分析</w:t>
            </w:r>
          </w:p>
        </w:tc>
        <w:tc>
          <w:tcPr>
            <w:tcW w:w="3443" w:type="dxa"/>
            <w:vAlign w:val="center"/>
          </w:tcPr>
          <w:p w14:paraId="2F7DDFE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分析指定关系人之间的资金流转情况。该模块需支持多账号资金流转特征的分析，提供交易金额、频率、时间等多维度的分析功能。</w:t>
            </w:r>
          </w:p>
        </w:tc>
      </w:tr>
      <w:tr w14:paraId="0AEE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64" w:type="dxa"/>
            <w:vAlign w:val="center"/>
          </w:tcPr>
          <w:p w14:paraId="1D4C4F81">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1D38D33F">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6E190EA0">
            <w:pPr>
              <w:widowControl/>
              <w:jc w:val="left"/>
              <w:rPr>
                <w:rFonts w:hint="eastAsia" w:ascii="宋体" w:hAnsi="宋体" w:eastAsia="宋体" w:cs="宋体"/>
                <w:color w:val="auto"/>
                <w:kern w:val="0"/>
                <w:sz w:val="20"/>
                <w:szCs w:val="20"/>
                <w:highlight w:val="none"/>
              </w:rPr>
            </w:pPr>
          </w:p>
        </w:tc>
        <w:tc>
          <w:tcPr>
            <w:tcW w:w="1537" w:type="dxa"/>
            <w:vAlign w:val="center"/>
          </w:tcPr>
          <w:p w14:paraId="35A2BD0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资金流转关系图可视化展示</w:t>
            </w:r>
          </w:p>
        </w:tc>
        <w:tc>
          <w:tcPr>
            <w:tcW w:w="3443" w:type="dxa"/>
            <w:vAlign w:val="center"/>
          </w:tcPr>
          <w:p w14:paraId="7F6EB08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需支持通过图形化的方式呈现资金流转记录。用户可以通过交互式操作，如缩放、节点筛选等，方便地浏览和分析资金流转关系图。此外，模块还需支持可视化图表的导出功能。</w:t>
            </w:r>
          </w:p>
        </w:tc>
      </w:tr>
      <w:tr w14:paraId="5A45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0BC47353">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00C554CE">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1CE9938D">
            <w:pPr>
              <w:widowControl/>
              <w:jc w:val="left"/>
              <w:rPr>
                <w:rFonts w:hint="eastAsia" w:ascii="宋体" w:hAnsi="宋体" w:eastAsia="宋体" w:cs="宋体"/>
                <w:color w:val="auto"/>
                <w:kern w:val="0"/>
                <w:sz w:val="20"/>
                <w:szCs w:val="20"/>
                <w:highlight w:val="none"/>
              </w:rPr>
            </w:pPr>
          </w:p>
        </w:tc>
        <w:tc>
          <w:tcPr>
            <w:tcW w:w="1537" w:type="dxa"/>
            <w:vAlign w:val="center"/>
          </w:tcPr>
          <w:p w14:paraId="7E6F139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案件关系人资金分析报告生成</w:t>
            </w:r>
          </w:p>
        </w:tc>
        <w:tc>
          <w:tcPr>
            <w:tcW w:w="3443" w:type="dxa"/>
            <w:vAlign w:val="center"/>
          </w:tcPr>
          <w:p w14:paraId="3FE9764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需支持根据案件基本信息、资金流转记录和预设的报告格式，自动生成案件关系人资金分析报告。</w:t>
            </w:r>
          </w:p>
        </w:tc>
      </w:tr>
      <w:tr w14:paraId="714B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6B272DA8">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2E806605">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617F34A8">
            <w:pPr>
              <w:widowControl/>
              <w:jc w:val="left"/>
              <w:rPr>
                <w:rFonts w:hint="eastAsia" w:ascii="宋体" w:hAnsi="宋体" w:eastAsia="宋体" w:cs="宋体"/>
                <w:color w:val="auto"/>
                <w:kern w:val="0"/>
                <w:sz w:val="20"/>
                <w:szCs w:val="20"/>
                <w:highlight w:val="none"/>
              </w:rPr>
            </w:pPr>
          </w:p>
        </w:tc>
        <w:tc>
          <w:tcPr>
            <w:tcW w:w="1537" w:type="dxa"/>
            <w:vAlign w:val="center"/>
          </w:tcPr>
          <w:p w14:paraId="7677BD7B">
            <w:pPr>
              <w:widowControl/>
              <w:jc w:val="left"/>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bidi="ar"/>
              </w:rPr>
              <w:t>执法办案平台系统对接</w:t>
            </w:r>
          </w:p>
        </w:tc>
        <w:tc>
          <w:tcPr>
            <w:tcW w:w="3443" w:type="dxa"/>
            <w:vAlign w:val="center"/>
          </w:tcPr>
          <w:p w14:paraId="7B044632">
            <w:pPr>
              <w:widowControl/>
              <w:jc w:val="left"/>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bidi="ar"/>
              </w:rPr>
              <w:t>包括执法办案平台提供的案件、人员等信息。</w:t>
            </w:r>
          </w:p>
        </w:tc>
      </w:tr>
      <w:tr w14:paraId="73A7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225890FA">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54CD82F9">
            <w:pPr>
              <w:widowControl/>
              <w:jc w:val="left"/>
              <w:rPr>
                <w:rFonts w:hint="eastAsia" w:ascii="宋体" w:hAnsi="宋体" w:eastAsia="宋体" w:cs="宋体"/>
                <w:color w:val="auto"/>
                <w:kern w:val="0"/>
                <w:sz w:val="22"/>
                <w:szCs w:val="22"/>
                <w:highlight w:val="none"/>
              </w:rPr>
            </w:pPr>
          </w:p>
        </w:tc>
        <w:tc>
          <w:tcPr>
            <w:tcW w:w="1586" w:type="dxa"/>
            <w:vMerge w:val="restart"/>
            <w:vAlign w:val="center"/>
          </w:tcPr>
          <w:p w14:paraId="1055B45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分析报告生成算法</w:t>
            </w:r>
          </w:p>
        </w:tc>
        <w:tc>
          <w:tcPr>
            <w:tcW w:w="1537" w:type="dxa"/>
            <w:vAlign w:val="center"/>
          </w:tcPr>
          <w:p w14:paraId="01839F0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涉案资金流转总结</w:t>
            </w:r>
          </w:p>
        </w:tc>
        <w:tc>
          <w:tcPr>
            <w:tcW w:w="3443" w:type="dxa"/>
            <w:vAlign w:val="center"/>
          </w:tcPr>
          <w:p w14:paraId="5AD5CAE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需支持梳理案件中涉案人员的资金流转关系，构建组织关系、资金往来等过程中的关键信息，并生成资金流转总结报告。</w:t>
            </w:r>
          </w:p>
        </w:tc>
      </w:tr>
      <w:tr w14:paraId="5830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4341BFFE">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43817E87">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621B4ECD">
            <w:pPr>
              <w:widowControl/>
              <w:jc w:val="left"/>
              <w:rPr>
                <w:rFonts w:hint="eastAsia" w:ascii="宋体" w:hAnsi="宋体" w:eastAsia="宋体" w:cs="宋体"/>
                <w:color w:val="auto"/>
                <w:kern w:val="0"/>
                <w:sz w:val="20"/>
                <w:szCs w:val="20"/>
                <w:highlight w:val="none"/>
              </w:rPr>
            </w:pPr>
          </w:p>
        </w:tc>
        <w:tc>
          <w:tcPr>
            <w:tcW w:w="1537" w:type="dxa"/>
            <w:vAlign w:val="center"/>
          </w:tcPr>
          <w:p w14:paraId="6D704BE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涉案关系人资金分析报告生成</w:t>
            </w:r>
          </w:p>
        </w:tc>
        <w:tc>
          <w:tcPr>
            <w:tcW w:w="3443" w:type="dxa"/>
            <w:vAlign w:val="center"/>
          </w:tcPr>
          <w:p w14:paraId="04CDC35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需支持能够根据给定的简要案情、资金流水记录等信息文件，生成符合相应格式规范的资金分析报告。</w:t>
            </w:r>
          </w:p>
        </w:tc>
      </w:tr>
      <w:tr w14:paraId="6328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4" w:type="dxa"/>
            <w:vAlign w:val="center"/>
          </w:tcPr>
          <w:p w14:paraId="5FBE560D">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restart"/>
            <w:vAlign w:val="center"/>
          </w:tcPr>
          <w:p w14:paraId="6100903F">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大模型交通管理应用平台</w:t>
            </w:r>
          </w:p>
        </w:tc>
        <w:tc>
          <w:tcPr>
            <w:tcW w:w="1586" w:type="dxa"/>
            <w:vMerge w:val="restart"/>
            <w:vAlign w:val="center"/>
          </w:tcPr>
          <w:p w14:paraId="01A57DF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公共基础模块</w:t>
            </w:r>
          </w:p>
        </w:tc>
        <w:tc>
          <w:tcPr>
            <w:tcW w:w="1537" w:type="dxa"/>
            <w:vAlign w:val="center"/>
          </w:tcPr>
          <w:p w14:paraId="709CD1F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数据对接</w:t>
            </w:r>
          </w:p>
        </w:tc>
        <w:tc>
          <w:tcPr>
            <w:tcW w:w="3443" w:type="dxa"/>
            <w:vAlign w:val="center"/>
          </w:tcPr>
          <w:p w14:paraId="1D507FC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需包含交通卡口数据对接、车辆属性数据对接、车辆所有人数据对接。</w:t>
            </w:r>
          </w:p>
        </w:tc>
      </w:tr>
      <w:tr w14:paraId="6ABE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4" w:type="dxa"/>
            <w:vAlign w:val="center"/>
          </w:tcPr>
          <w:p w14:paraId="46B9A4FF">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59677F00">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5D5E9A28">
            <w:pPr>
              <w:widowControl/>
              <w:jc w:val="left"/>
              <w:rPr>
                <w:rFonts w:hint="eastAsia" w:ascii="宋体" w:hAnsi="宋体" w:eastAsia="宋体" w:cs="宋体"/>
                <w:color w:val="auto"/>
                <w:kern w:val="0"/>
                <w:sz w:val="20"/>
                <w:szCs w:val="20"/>
                <w:highlight w:val="none"/>
              </w:rPr>
            </w:pPr>
          </w:p>
        </w:tc>
        <w:tc>
          <w:tcPr>
            <w:tcW w:w="1537" w:type="dxa"/>
            <w:vAlign w:val="center"/>
          </w:tcPr>
          <w:p w14:paraId="5051367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任务调度</w:t>
            </w:r>
          </w:p>
        </w:tc>
        <w:tc>
          <w:tcPr>
            <w:tcW w:w="3443" w:type="dxa"/>
            <w:vAlign w:val="center"/>
          </w:tcPr>
          <w:p w14:paraId="78DEFFA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定时任务调度：包括数据清洗、车辆识别等任务调度。</w:t>
            </w:r>
          </w:p>
        </w:tc>
      </w:tr>
      <w:tr w14:paraId="02EC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4" w:type="dxa"/>
            <w:vAlign w:val="center"/>
          </w:tcPr>
          <w:p w14:paraId="12BA6461">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06BB1AB2">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6AEE6042">
            <w:pPr>
              <w:widowControl/>
              <w:jc w:val="left"/>
              <w:rPr>
                <w:rFonts w:hint="eastAsia" w:ascii="宋体" w:hAnsi="宋体" w:eastAsia="宋体" w:cs="宋体"/>
                <w:color w:val="auto"/>
                <w:kern w:val="0"/>
                <w:sz w:val="20"/>
                <w:szCs w:val="20"/>
                <w:highlight w:val="none"/>
              </w:rPr>
            </w:pPr>
          </w:p>
        </w:tc>
        <w:tc>
          <w:tcPr>
            <w:tcW w:w="1537" w:type="dxa"/>
            <w:vAlign w:val="center"/>
          </w:tcPr>
          <w:p w14:paraId="1C8E708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数据推送</w:t>
            </w:r>
          </w:p>
        </w:tc>
        <w:tc>
          <w:tcPr>
            <w:tcW w:w="3443" w:type="dxa"/>
            <w:vAlign w:val="center"/>
          </w:tcPr>
          <w:p w14:paraId="355C2D6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需包含结果数据筛选、数据智能推送。</w:t>
            </w:r>
          </w:p>
        </w:tc>
      </w:tr>
      <w:tr w14:paraId="3133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4" w:type="dxa"/>
            <w:vAlign w:val="center"/>
          </w:tcPr>
          <w:p w14:paraId="00EBB0A9">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6274AF9D">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76C6023B">
            <w:pPr>
              <w:widowControl/>
              <w:jc w:val="left"/>
              <w:rPr>
                <w:rFonts w:hint="eastAsia" w:ascii="宋体" w:hAnsi="宋体" w:eastAsia="宋体" w:cs="宋体"/>
                <w:color w:val="auto"/>
                <w:kern w:val="0"/>
                <w:sz w:val="20"/>
                <w:szCs w:val="20"/>
                <w:highlight w:val="none"/>
              </w:rPr>
            </w:pPr>
          </w:p>
        </w:tc>
        <w:tc>
          <w:tcPr>
            <w:tcW w:w="1537" w:type="dxa"/>
            <w:vAlign w:val="center"/>
          </w:tcPr>
          <w:p w14:paraId="6F5406B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系统配置</w:t>
            </w:r>
          </w:p>
        </w:tc>
        <w:tc>
          <w:tcPr>
            <w:tcW w:w="3443" w:type="dxa"/>
            <w:vAlign w:val="center"/>
          </w:tcPr>
          <w:p w14:paraId="25A0846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需包含卡口动态配置、系统配置与监控。</w:t>
            </w:r>
          </w:p>
        </w:tc>
      </w:tr>
      <w:tr w14:paraId="6A07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4" w:type="dxa"/>
            <w:vAlign w:val="center"/>
          </w:tcPr>
          <w:p w14:paraId="4722AE73">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6986CEE0">
            <w:pPr>
              <w:widowControl/>
              <w:jc w:val="left"/>
              <w:rPr>
                <w:rFonts w:hint="eastAsia" w:ascii="宋体" w:hAnsi="宋体" w:eastAsia="宋体" w:cs="宋体"/>
                <w:color w:val="auto"/>
                <w:kern w:val="0"/>
                <w:sz w:val="22"/>
                <w:szCs w:val="22"/>
                <w:highlight w:val="none"/>
              </w:rPr>
            </w:pPr>
          </w:p>
        </w:tc>
        <w:tc>
          <w:tcPr>
            <w:tcW w:w="1586" w:type="dxa"/>
            <w:vMerge w:val="restart"/>
            <w:vAlign w:val="center"/>
          </w:tcPr>
          <w:p w14:paraId="3765B6D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多模态特征识别</w:t>
            </w:r>
          </w:p>
        </w:tc>
        <w:tc>
          <w:tcPr>
            <w:tcW w:w="1537" w:type="dxa"/>
            <w:vAlign w:val="center"/>
          </w:tcPr>
          <w:p w14:paraId="303B354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数据训练</w:t>
            </w:r>
          </w:p>
        </w:tc>
        <w:tc>
          <w:tcPr>
            <w:tcW w:w="3443" w:type="dxa"/>
            <w:vAlign w:val="center"/>
          </w:tcPr>
          <w:p w14:paraId="5E03699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需包含训练数据采集、训练数据监控、训练参数调优。</w:t>
            </w:r>
          </w:p>
        </w:tc>
      </w:tr>
      <w:tr w14:paraId="4871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4" w:type="dxa"/>
            <w:vAlign w:val="center"/>
          </w:tcPr>
          <w:p w14:paraId="1EF2A7A7">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4CDBE98C">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23F12452">
            <w:pPr>
              <w:widowControl/>
              <w:jc w:val="left"/>
              <w:rPr>
                <w:rFonts w:hint="eastAsia" w:ascii="宋体" w:hAnsi="宋体" w:eastAsia="宋体" w:cs="宋体"/>
                <w:color w:val="auto"/>
                <w:kern w:val="0"/>
                <w:sz w:val="20"/>
                <w:szCs w:val="20"/>
                <w:highlight w:val="none"/>
              </w:rPr>
            </w:pPr>
          </w:p>
        </w:tc>
        <w:tc>
          <w:tcPr>
            <w:tcW w:w="1537" w:type="dxa"/>
            <w:vAlign w:val="center"/>
          </w:tcPr>
          <w:p w14:paraId="123803E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成果验证</w:t>
            </w:r>
          </w:p>
        </w:tc>
        <w:tc>
          <w:tcPr>
            <w:tcW w:w="3443" w:type="dxa"/>
            <w:vAlign w:val="center"/>
          </w:tcPr>
          <w:p w14:paraId="59DC8B4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需包含特征属性标注、模型评估验证、训练结果版本管理能力。</w:t>
            </w:r>
          </w:p>
        </w:tc>
      </w:tr>
      <w:tr w14:paraId="3238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764" w:type="dxa"/>
            <w:vAlign w:val="center"/>
          </w:tcPr>
          <w:p w14:paraId="7307D68C">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restart"/>
            <w:vAlign w:val="center"/>
          </w:tcPr>
          <w:p w14:paraId="373DFA6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智能识别检测场景</w:t>
            </w:r>
          </w:p>
        </w:tc>
        <w:tc>
          <w:tcPr>
            <w:tcW w:w="1586" w:type="dxa"/>
            <w:vAlign w:val="center"/>
          </w:tcPr>
          <w:p w14:paraId="6C2035B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黑假救护车识别</w:t>
            </w:r>
          </w:p>
        </w:tc>
        <w:tc>
          <w:tcPr>
            <w:tcW w:w="1537" w:type="dxa"/>
            <w:vAlign w:val="center"/>
          </w:tcPr>
          <w:p w14:paraId="36CC231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3443" w:type="dxa"/>
            <w:vAlign w:val="center"/>
          </w:tcPr>
          <w:p w14:paraId="5A7F1F8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黑假救护车识别需依托大语言模型结合先进的多模态模型技术，实现对图像的理解和对车辆特征的智能化解析。系统通过多模态模型技术的图像理解能力，精准识别救护车特征标识，自并完成合法性校验，人工工作量较之前降低90%，实现了图像理解和车辆信息处理的全流程自动化。同时，系统保留了人工审核机制，确保研判结果的准确性和可靠性。</w:t>
            </w:r>
          </w:p>
        </w:tc>
      </w:tr>
      <w:tr w14:paraId="46E7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64" w:type="dxa"/>
            <w:vAlign w:val="center"/>
          </w:tcPr>
          <w:p w14:paraId="745E4C19">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57F2292B">
            <w:pPr>
              <w:widowControl/>
              <w:jc w:val="left"/>
              <w:rPr>
                <w:rFonts w:hint="eastAsia" w:ascii="宋体" w:hAnsi="宋体" w:eastAsia="宋体" w:cs="宋体"/>
                <w:color w:val="auto"/>
                <w:kern w:val="0"/>
                <w:sz w:val="22"/>
                <w:szCs w:val="22"/>
                <w:highlight w:val="none"/>
              </w:rPr>
            </w:pPr>
          </w:p>
        </w:tc>
        <w:tc>
          <w:tcPr>
            <w:tcW w:w="1586" w:type="dxa"/>
            <w:vAlign w:val="center"/>
          </w:tcPr>
          <w:p w14:paraId="767F22D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逾期未检面包车识别</w:t>
            </w:r>
          </w:p>
        </w:tc>
        <w:tc>
          <w:tcPr>
            <w:tcW w:w="1537" w:type="dxa"/>
            <w:vAlign w:val="center"/>
          </w:tcPr>
          <w:p w14:paraId="1BCA291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3443" w:type="dxa"/>
            <w:vAlign w:val="center"/>
          </w:tcPr>
          <w:p w14:paraId="28D23E7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为切实消除道路交通安全隐患，需构建智能化识别系统，将车辆卡口过车记录与逾期未检面包车基础信息进行关联比对，依托AI大模型多模态技术，构建面向特征车辆的深度学习。实现了逾期未检面包车违法行驶的精准打击，有效提升了道路交通安全管理水平。</w:t>
            </w:r>
          </w:p>
        </w:tc>
      </w:tr>
      <w:tr w14:paraId="3FA0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764" w:type="dxa"/>
            <w:vAlign w:val="center"/>
          </w:tcPr>
          <w:p w14:paraId="543A2064">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709DFE0A">
            <w:pPr>
              <w:widowControl/>
              <w:jc w:val="left"/>
              <w:rPr>
                <w:rFonts w:hint="eastAsia" w:ascii="宋体" w:hAnsi="宋体" w:eastAsia="宋体" w:cs="宋体"/>
                <w:color w:val="auto"/>
                <w:kern w:val="0"/>
                <w:sz w:val="22"/>
                <w:szCs w:val="22"/>
                <w:highlight w:val="none"/>
              </w:rPr>
            </w:pPr>
          </w:p>
        </w:tc>
        <w:tc>
          <w:tcPr>
            <w:tcW w:w="1586" w:type="dxa"/>
            <w:vAlign w:val="center"/>
          </w:tcPr>
          <w:p w14:paraId="52F109C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盗伐森木车辆监测</w:t>
            </w:r>
          </w:p>
        </w:tc>
        <w:tc>
          <w:tcPr>
            <w:tcW w:w="1537" w:type="dxa"/>
            <w:vAlign w:val="center"/>
          </w:tcPr>
          <w:p w14:paraId="3039808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3443" w:type="dxa"/>
            <w:vAlign w:val="center"/>
          </w:tcPr>
          <w:p w14:paraId="1AFBA63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实现对盗伐树木车辆的精准识别，通过多模态数据融合，经大模型验证其识别准确性，显著提升案件侦办能力。系统功能需涵盖对接案件中的拉木车信息，自动检验车辆是否符合运输要求，有效拦截非法运输行为。通过设定时间段、伐木案发所属单位、经过的卡口点位等多维度筛选条件，精确锁定目标车辆。同时，利用大模型对伐木点位、车辆特征进行深度智能分析，揭示隐藏的犯罪模式。</w:t>
            </w:r>
          </w:p>
        </w:tc>
      </w:tr>
      <w:tr w14:paraId="5C11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66FB6E47">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restart"/>
            <w:vAlign w:val="center"/>
          </w:tcPr>
          <w:p w14:paraId="2DC63E7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系统对接等</w:t>
            </w:r>
          </w:p>
        </w:tc>
        <w:tc>
          <w:tcPr>
            <w:tcW w:w="1586" w:type="dxa"/>
            <w:vAlign w:val="center"/>
          </w:tcPr>
          <w:p w14:paraId="178E421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系统对接</w:t>
            </w:r>
          </w:p>
        </w:tc>
        <w:tc>
          <w:tcPr>
            <w:tcW w:w="1537" w:type="dxa"/>
            <w:vAlign w:val="center"/>
          </w:tcPr>
          <w:p w14:paraId="18599A8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3443" w:type="dxa"/>
            <w:vAlign w:val="center"/>
          </w:tcPr>
          <w:p w14:paraId="7D6AE22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需包含郑安智警平台、交管应用平台、执法办案平台、智能审讯系统的对接。</w:t>
            </w:r>
          </w:p>
        </w:tc>
      </w:tr>
      <w:tr w14:paraId="10BC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4" w:type="dxa"/>
            <w:vAlign w:val="center"/>
          </w:tcPr>
          <w:p w14:paraId="660B0FB3">
            <w:pPr>
              <w:widowControl/>
              <w:numPr>
                <w:ilvl w:val="0"/>
                <w:numId w:val="2"/>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3132ACE3">
            <w:pPr>
              <w:widowControl/>
              <w:jc w:val="left"/>
              <w:rPr>
                <w:rFonts w:hint="eastAsia" w:ascii="宋体" w:hAnsi="宋体" w:eastAsia="宋体" w:cs="宋体"/>
                <w:color w:val="auto"/>
                <w:kern w:val="0"/>
                <w:sz w:val="22"/>
                <w:szCs w:val="22"/>
                <w:highlight w:val="none"/>
              </w:rPr>
            </w:pPr>
          </w:p>
        </w:tc>
        <w:tc>
          <w:tcPr>
            <w:tcW w:w="1586" w:type="dxa"/>
            <w:vAlign w:val="center"/>
          </w:tcPr>
          <w:p w14:paraId="267995E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算法功能建设</w:t>
            </w:r>
          </w:p>
        </w:tc>
        <w:tc>
          <w:tcPr>
            <w:tcW w:w="1537" w:type="dxa"/>
            <w:vAlign w:val="center"/>
          </w:tcPr>
          <w:p w14:paraId="44835C7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AI警官</w:t>
            </w:r>
          </w:p>
        </w:tc>
        <w:tc>
          <w:tcPr>
            <w:tcW w:w="3443" w:type="dxa"/>
            <w:vAlign w:val="center"/>
          </w:tcPr>
          <w:p w14:paraId="765E725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需包含公安语义理解算法、警务逻辑推理算法、警务内容生成算法。</w:t>
            </w:r>
          </w:p>
        </w:tc>
      </w:tr>
    </w:tbl>
    <w:p w14:paraId="4DB48569">
      <w:pPr>
        <w:rPr>
          <w:rFonts w:hint="eastAsia" w:ascii="宋体" w:hAnsi="宋体" w:eastAsia="宋体" w:cs="宋体"/>
          <w:lang w:val="en-US" w:eastAsia="zh-CN"/>
        </w:rPr>
      </w:pPr>
    </w:p>
    <w:p w14:paraId="1673DFA8">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2107CAEC">
      <w:pPr>
        <w:shd w:val="clear" w:fill="FFFFFF" w:themeFill="background1"/>
        <w:outlineLvl w:val="1"/>
        <w:rPr>
          <w:rFonts w:hint="eastAsia" w:ascii="宋体" w:hAnsi="宋体" w:eastAsia="宋体" w:cs="宋体"/>
          <w:lang w:val="en-US" w:eastAsia="zh-CN"/>
        </w:rPr>
      </w:pPr>
      <w:r>
        <w:rPr>
          <w:rFonts w:hint="eastAsia" w:ascii="宋体" w:hAnsi="宋体" w:eastAsia="宋体" w:cs="宋体"/>
          <w:color w:val="auto"/>
          <w:sz w:val="21"/>
          <w:szCs w:val="21"/>
          <w:highlight w:val="none"/>
          <w:lang w:val="en-US" w:eastAsia="zh-CN"/>
        </w:rPr>
        <w:t>2.市公安局场景软件需求核减后</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192"/>
        <w:gridCol w:w="1586"/>
        <w:gridCol w:w="1537"/>
        <w:gridCol w:w="3443"/>
      </w:tblGrid>
      <w:tr w14:paraId="7CDE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4" w:type="dxa"/>
            <w:shd w:val="clear" w:color="000000" w:fill="E7E6E6"/>
            <w:vAlign w:val="center"/>
          </w:tcPr>
          <w:p w14:paraId="78D5B773">
            <w:pPr>
              <w:keepNext w:val="0"/>
              <w:keepLines w:val="0"/>
              <w:pageBreakBefore w:val="0"/>
              <w:widowControl/>
              <w:suppressLineNumbers w:val="0"/>
              <w:wordWrap/>
              <w:overflowPunct/>
              <w:topLinePunct w:val="0"/>
              <w:bidi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i w:val="0"/>
                <w:iCs w:val="0"/>
                <w:snapToGrid w:val="0"/>
                <w:color w:val="auto"/>
                <w:kern w:val="0"/>
                <w:sz w:val="20"/>
                <w:szCs w:val="20"/>
                <w:highlight w:val="none"/>
                <w:u w:val="none"/>
                <w:lang w:val="en-US" w:eastAsia="zh-CN" w:bidi="ar"/>
              </w:rPr>
              <w:t>序号</w:t>
            </w:r>
          </w:p>
        </w:tc>
        <w:tc>
          <w:tcPr>
            <w:tcW w:w="1192" w:type="dxa"/>
            <w:shd w:val="clear" w:color="000000" w:fill="E7E6E6"/>
            <w:vAlign w:val="center"/>
          </w:tcPr>
          <w:p w14:paraId="00609FA8">
            <w:pPr>
              <w:keepNext w:val="0"/>
              <w:keepLines w:val="0"/>
              <w:pageBreakBefore w:val="0"/>
              <w:widowControl/>
              <w:suppressLineNumbers w:val="0"/>
              <w:wordWrap/>
              <w:overflowPunct/>
              <w:topLinePunct w:val="0"/>
              <w:bidi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i w:val="0"/>
                <w:iCs w:val="0"/>
                <w:snapToGrid w:val="0"/>
                <w:color w:val="auto"/>
                <w:kern w:val="0"/>
                <w:sz w:val="20"/>
                <w:szCs w:val="20"/>
                <w:highlight w:val="none"/>
                <w:u w:val="none"/>
                <w:lang w:val="en-US" w:eastAsia="zh-CN" w:bidi="ar"/>
              </w:rPr>
              <w:t>系统名称</w:t>
            </w:r>
          </w:p>
        </w:tc>
        <w:tc>
          <w:tcPr>
            <w:tcW w:w="1586" w:type="dxa"/>
            <w:shd w:val="clear" w:color="000000" w:fill="E7E6E6"/>
            <w:vAlign w:val="center"/>
          </w:tcPr>
          <w:p w14:paraId="09534421">
            <w:pPr>
              <w:keepNext w:val="0"/>
              <w:keepLines w:val="0"/>
              <w:pageBreakBefore w:val="0"/>
              <w:widowControl/>
              <w:suppressLineNumbers w:val="0"/>
              <w:wordWrap/>
              <w:overflowPunct/>
              <w:topLinePunct w:val="0"/>
              <w:bidi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i w:val="0"/>
                <w:iCs w:val="0"/>
                <w:snapToGrid w:val="0"/>
                <w:color w:val="auto"/>
                <w:kern w:val="0"/>
                <w:sz w:val="20"/>
                <w:szCs w:val="20"/>
                <w:highlight w:val="none"/>
                <w:u w:val="none"/>
                <w:lang w:val="en-US" w:eastAsia="zh-CN" w:bidi="ar"/>
              </w:rPr>
              <w:t>功能模块名称</w:t>
            </w:r>
          </w:p>
        </w:tc>
        <w:tc>
          <w:tcPr>
            <w:tcW w:w="1537" w:type="dxa"/>
            <w:shd w:val="clear" w:color="000000" w:fill="E7E6E6"/>
            <w:vAlign w:val="center"/>
          </w:tcPr>
          <w:p w14:paraId="6ADBB6A6">
            <w:pPr>
              <w:keepNext w:val="0"/>
              <w:keepLines w:val="0"/>
              <w:pageBreakBefore w:val="0"/>
              <w:widowControl/>
              <w:suppressLineNumbers w:val="0"/>
              <w:wordWrap/>
              <w:overflowPunct/>
              <w:topLinePunct w:val="0"/>
              <w:bidi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i w:val="0"/>
                <w:iCs w:val="0"/>
                <w:snapToGrid w:val="0"/>
                <w:color w:val="auto"/>
                <w:kern w:val="0"/>
                <w:sz w:val="20"/>
                <w:szCs w:val="20"/>
                <w:highlight w:val="none"/>
                <w:u w:val="none"/>
                <w:lang w:val="en-US" w:eastAsia="zh-CN" w:bidi="ar"/>
              </w:rPr>
              <w:t>功能子模块名称</w:t>
            </w:r>
          </w:p>
        </w:tc>
        <w:tc>
          <w:tcPr>
            <w:tcW w:w="3443" w:type="dxa"/>
            <w:shd w:val="clear" w:color="000000" w:fill="E7E6E6"/>
            <w:vAlign w:val="center"/>
          </w:tcPr>
          <w:p w14:paraId="28A09659">
            <w:pPr>
              <w:keepNext w:val="0"/>
              <w:keepLines w:val="0"/>
              <w:pageBreakBefore w:val="0"/>
              <w:widowControl/>
              <w:suppressLineNumbers w:val="0"/>
              <w:wordWrap/>
              <w:overflowPunct/>
              <w:topLinePunct w:val="0"/>
              <w:bidi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i w:val="0"/>
                <w:iCs w:val="0"/>
                <w:snapToGrid w:val="0"/>
                <w:color w:val="auto"/>
                <w:kern w:val="0"/>
                <w:sz w:val="20"/>
                <w:szCs w:val="20"/>
                <w:highlight w:val="none"/>
                <w:u w:val="none"/>
                <w:lang w:val="en-US" w:eastAsia="zh-CN" w:bidi="ar"/>
              </w:rPr>
              <w:t>功能说明</w:t>
            </w:r>
          </w:p>
        </w:tc>
      </w:tr>
      <w:tr w14:paraId="7585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64" w:type="dxa"/>
            <w:vAlign w:val="center"/>
          </w:tcPr>
          <w:p w14:paraId="2827F4A7">
            <w:pPr>
              <w:widowControl/>
              <w:numPr>
                <w:ilvl w:val="0"/>
                <w:numId w:val="3"/>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restart"/>
            <w:vAlign w:val="center"/>
          </w:tcPr>
          <w:p w14:paraId="01FF5D1F">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智慧公安AI警官</w:t>
            </w:r>
          </w:p>
        </w:tc>
        <w:tc>
          <w:tcPr>
            <w:tcW w:w="1586" w:type="dxa"/>
            <w:vMerge w:val="restart"/>
            <w:vAlign w:val="center"/>
          </w:tcPr>
          <w:p w14:paraId="69D253D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AI智能文书生成助手</w:t>
            </w:r>
          </w:p>
        </w:tc>
        <w:tc>
          <w:tcPr>
            <w:tcW w:w="1537" w:type="dxa"/>
            <w:vAlign w:val="center"/>
          </w:tcPr>
          <w:p w14:paraId="5699773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行政类文书</w:t>
            </w:r>
          </w:p>
        </w:tc>
        <w:tc>
          <w:tcPr>
            <w:tcW w:w="3443" w:type="dxa"/>
            <w:vAlign w:val="center"/>
          </w:tcPr>
          <w:p w14:paraId="3D8EF1B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行政类文书需支持殴打他人、盗窃、扰乱公共场所秩序、诈骗、故意损毁财物、卖淫嫖娼、侮辱、吸毒、赌博、纠纷等十类案由文书开具，包括行政立案登记表、行政处罚决定书和治安调解协议书开具。</w:t>
            </w:r>
          </w:p>
        </w:tc>
      </w:tr>
      <w:tr w14:paraId="2762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764" w:type="dxa"/>
            <w:vAlign w:val="center"/>
          </w:tcPr>
          <w:p w14:paraId="771F6181">
            <w:pPr>
              <w:widowControl/>
              <w:numPr>
                <w:ilvl w:val="0"/>
                <w:numId w:val="3"/>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7B1298F0">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4E9DAB79">
            <w:pPr>
              <w:widowControl/>
              <w:jc w:val="left"/>
              <w:rPr>
                <w:rFonts w:hint="eastAsia" w:ascii="宋体" w:hAnsi="宋体" w:eastAsia="宋体" w:cs="宋体"/>
                <w:color w:val="auto"/>
                <w:kern w:val="0"/>
                <w:sz w:val="20"/>
                <w:szCs w:val="20"/>
                <w:highlight w:val="none"/>
              </w:rPr>
            </w:pPr>
          </w:p>
        </w:tc>
        <w:tc>
          <w:tcPr>
            <w:tcW w:w="1537" w:type="dxa"/>
            <w:vAlign w:val="center"/>
          </w:tcPr>
          <w:p w14:paraId="2EE1AB1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刑事类文书</w:t>
            </w:r>
          </w:p>
        </w:tc>
        <w:tc>
          <w:tcPr>
            <w:tcW w:w="3443" w:type="dxa"/>
            <w:vAlign w:val="center"/>
          </w:tcPr>
          <w:p w14:paraId="52600C0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刑事类文书需支持诈骗罪、盗窃罪、危险驾驶罪、敲诈勒索罪、帮助信息网络犯罪活动罪、开设赌场罪、故意伤害罪、掩饰、隐瞒犯罪所得、寻衅滋事罪、强奸罪十类案由文书开具，包括受案登记表、呈请立案报告书、呈请立案报告书、呈请查询财产报告书、呈请协助冻结/解除冻结财产报告书、呈请取保候审报告书、呈请拘留报告书、提请批准逮捕书、呈请提请批准逮捕报告书、起诉意见书、呈请移送起诉报告书等。</w:t>
            </w:r>
          </w:p>
        </w:tc>
      </w:tr>
      <w:tr w14:paraId="78E7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008EA659">
            <w:pPr>
              <w:widowControl/>
              <w:numPr>
                <w:ilvl w:val="0"/>
                <w:numId w:val="3"/>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0A44DEB2">
            <w:pPr>
              <w:widowControl/>
              <w:jc w:val="left"/>
              <w:rPr>
                <w:rFonts w:hint="eastAsia" w:ascii="宋体" w:hAnsi="宋体" w:eastAsia="宋体" w:cs="宋体"/>
                <w:color w:val="auto"/>
                <w:kern w:val="0"/>
                <w:sz w:val="22"/>
                <w:szCs w:val="22"/>
                <w:highlight w:val="none"/>
              </w:rPr>
            </w:pPr>
          </w:p>
        </w:tc>
        <w:tc>
          <w:tcPr>
            <w:tcW w:w="1586" w:type="dxa"/>
            <w:vMerge w:val="restart"/>
            <w:vAlign w:val="center"/>
          </w:tcPr>
          <w:p w14:paraId="4BF9DB6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AI智能笔录分析助手</w:t>
            </w:r>
          </w:p>
        </w:tc>
        <w:tc>
          <w:tcPr>
            <w:tcW w:w="1537" w:type="dxa"/>
            <w:vAlign w:val="center"/>
          </w:tcPr>
          <w:p w14:paraId="08F2A49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讯询问问话提纲推荐</w:t>
            </w:r>
          </w:p>
        </w:tc>
        <w:tc>
          <w:tcPr>
            <w:tcW w:w="3443" w:type="dxa"/>
            <w:vAlign w:val="center"/>
          </w:tcPr>
          <w:p w14:paraId="4915E88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需包含讯询问问话提纲推荐、提纲问话匹配、问话向量化、推荐问话排序、重新匹配、问话数排序、问话模版管理、复制插入、提纲问话知识库能力。</w:t>
            </w:r>
          </w:p>
        </w:tc>
      </w:tr>
      <w:tr w14:paraId="226A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443DC37A">
            <w:pPr>
              <w:widowControl/>
              <w:numPr>
                <w:ilvl w:val="0"/>
                <w:numId w:val="3"/>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342CE7DA">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44CC3BC2">
            <w:pPr>
              <w:widowControl/>
              <w:jc w:val="left"/>
              <w:rPr>
                <w:rFonts w:hint="eastAsia" w:ascii="宋体" w:hAnsi="宋体" w:eastAsia="宋体" w:cs="宋体"/>
                <w:color w:val="auto"/>
                <w:kern w:val="0"/>
                <w:sz w:val="20"/>
                <w:szCs w:val="20"/>
                <w:highlight w:val="none"/>
              </w:rPr>
            </w:pPr>
          </w:p>
        </w:tc>
        <w:tc>
          <w:tcPr>
            <w:tcW w:w="1537" w:type="dxa"/>
            <w:vAlign w:val="center"/>
          </w:tcPr>
          <w:p w14:paraId="579F8EF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笔录串并案</w:t>
            </w:r>
          </w:p>
        </w:tc>
        <w:tc>
          <w:tcPr>
            <w:tcW w:w="3443" w:type="dxa"/>
            <w:vAlign w:val="center"/>
          </w:tcPr>
          <w:p w14:paraId="701551F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需支持在审讯过程中实时抽取16种指向性要素和4种作案特征要素，实现相同要素笔录的归聚，为笔录的串并案分析提供数据支撑。</w:t>
            </w:r>
          </w:p>
        </w:tc>
      </w:tr>
      <w:tr w14:paraId="7ADF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66D49557">
            <w:pPr>
              <w:widowControl/>
              <w:numPr>
                <w:ilvl w:val="0"/>
                <w:numId w:val="3"/>
              </w:numPr>
              <w:ind w:left="635" w:leftChars="0" w:hanging="425" w:firstLineChars="0"/>
              <w:jc w:val="center"/>
              <w:rPr>
                <w:rFonts w:hint="eastAsia" w:ascii="宋体" w:hAnsi="宋体" w:eastAsia="宋体" w:cs="宋体"/>
                <w:color w:val="auto"/>
                <w:kern w:val="0"/>
                <w:sz w:val="22"/>
                <w:szCs w:val="22"/>
                <w:highlight w:val="none"/>
                <w:lang w:val="en-US" w:eastAsia="zh-CN"/>
              </w:rPr>
            </w:pPr>
          </w:p>
        </w:tc>
        <w:tc>
          <w:tcPr>
            <w:tcW w:w="1192" w:type="dxa"/>
            <w:vMerge w:val="continue"/>
            <w:vAlign w:val="center"/>
          </w:tcPr>
          <w:p w14:paraId="15DDE145">
            <w:pPr>
              <w:widowControl/>
              <w:jc w:val="left"/>
              <w:rPr>
                <w:rFonts w:hint="eastAsia" w:ascii="宋体" w:hAnsi="宋体" w:eastAsia="宋体" w:cs="宋体"/>
                <w:color w:val="auto"/>
                <w:kern w:val="0"/>
                <w:sz w:val="22"/>
                <w:szCs w:val="22"/>
                <w:highlight w:val="none"/>
              </w:rPr>
            </w:pPr>
          </w:p>
        </w:tc>
        <w:tc>
          <w:tcPr>
            <w:tcW w:w="1586" w:type="dxa"/>
            <w:vMerge w:val="continue"/>
            <w:vAlign w:val="center"/>
          </w:tcPr>
          <w:p w14:paraId="622BEC9B">
            <w:pPr>
              <w:widowControl/>
              <w:jc w:val="left"/>
              <w:rPr>
                <w:rFonts w:hint="eastAsia" w:ascii="宋体" w:hAnsi="宋体" w:eastAsia="宋体" w:cs="宋体"/>
                <w:color w:val="auto"/>
                <w:kern w:val="0"/>
                <w:sz w:val="20"/>
                <w:szCs w:val="20"/>
                <w:highlight w:val="none"/>
              </w:rPr>
            </w:pPr>
          </w:p>
        </w:tc>
        <w:tc>
          <w:tcPr>
            <w:tcW w:w="1537" w:type="dxa"/>
            <w:vAlign w:val="center"/>
          </w:tcPr>
          <w:p w14:paraId="61085531">
            <w:pPr>
              <w:widowControl/>
              <w:jc w:val="left"/>
              <w:rPr>
                <w:rFonts w:hint="eastAsia" w:ascii="宋体" w:hAnsi="宋体" w:eastAsia="宋体" w:cs="宋体"/>
                <w:color w:val="auto"/>
                <w:kern w:val="0"/>
                <w:sz w:val="20"/>
                <w:szCs w:val="20"/>
                <w:highlight w:val="none"/>
              </w:rPr>
            </w:pPr>
            <w:r>
              <w:rPr>
                <w:rFonts w:hint="eastAsia" w:ascii="宋体" w:hAnsi="宋体" w:eastAsia="宋体" w:cs="宋体"/>
                <w:snapToGrid w:val="0"/>
                <w:color w:val="auto"/>
                <w:kern w:val="0"/>
                <w:sz w:val="20"/>
                <w:szCs w:val="20"/>
                <w:highlight w:val="none"/>
                <w:lang w:bidi="ar"/>
              </w:rPr>
              <w:t>笔录分析</w:t>
            </w:r>
          </w:p>
        </w:tc>
        <w:tc>
          <w:tcPr>
            <w:tcW w:w="3443" w:type="dxa"/>
            <w:vAlign w:val="center"/>
          </w:tcPr>
          <w:p w14:paraId="4F480D34">
            <w:pPr>
              <w:widowControl/>
              <w:jc w:val="left"/>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需支持</w:t>
            </w:r>
            <w:r>
              <w:rPr>
                <w:rFonts w:hint="eastAsia" w:ascii="宋体" w:hAnsi="宋体" w:eastAsia="宋体" w:cs="宋体"/>
                <w:snapToGrid w:val="0"/>
                <w:color w:val="auto"/>
                <w:kern w:val="0"/>
                <w:sz w:val="20"/>
                <w:szCs w:val="20"/>
                <w:highlight w:val="none"/>
                <w:lang w:bidi="ar"/>
              </w:rPr>
              <w:t>侦查取证线索结果信息</w:t>
            </w:r>
            <w:r>
              <w:rPr>
                <w:rFonts w:hint="eastAsia" w:ascii="宋体" w:hAnsi="宋体" w:eastAsia="宋体" w:cs="宋体"/>
                <w:snapToGrid w:val="0"/>
                <w:color w:val="auto"/>
                <w:kern w:val="0"/>
                <w:sz w:val="20"/>
                <w:szCs w:val="20"/>
                <w:highlight w:val="none"/>
                <w:lang w:eastAsia="zh-CN" w:bidi="ar"/>
              </w:rPr>
              <w:t>、</w:t>
            </w:r>
            <w:r>
              <w:rPr>
                <w:rFonts w:hint="eastAsia" w:ascii="宋体" w:hAnsi="宋体" w:eastAsia="宋体" w:cs="宋体"/>
                <w:snapToGrid w:val="0"/>
                <w:color w:val="auto"/>
                <w:kern w:val="0"/>
                <w:sz w:val="20"/>
                <w:szCs w:val="20"/>
                <w:highlight w:val="none"/>
                <w:lang w:bidi="ar"/>
              </w:rPr>
              <w:t>人员关系结果信息</w:t>
            </w:r>
            <w:r>
              <w:rPr>
                <w:rFonts w:hint="eastAsia" w:ascii="宋体" w:hAnsi="宋体" w:eastAsia="宋体" w:cs="宋体"/>
                <w:snapToGrid w:val="0"/>
                <w:color w:val="auto"/>
                <w:kern w:val="0"/>
                <w:sz w:val="20"/>
                <w:szCs w:val="20"/>
                <w:highlight w:val="none"/>
                <w:lang w:eastAsia="zh-CN" w:bidi="ar"/>
              </w:rPr>
              <w:t>、</w:t>
            </w:r>
            <w:r>
              <w:rPr>
                <w:rFonts w:hint="eastAsia" w:ascii="宋体" w:hAnsi="宋体" w:eastAsia="宋体" w:cs="宋体"/>
                <w:snapToGrid w:val="0"/>
                <w:color w:val="auto"/>
                <w:kern w:val="0"/>
                <w:sz w:val="20"/>
                <w:szCs w:val="20"/>
                <w:highlight w:val="none"/>
                <w:lang w:bidi="ar"/>
              </w:rPr>
              <w:t>涉案资金结果信息</w:t>
            </w:r>
            <w:r>
              <w:rPr>
                <w:rFonts w:hint="eastAsia" w:ascii="宋体" w:hAnsi="宋体" w:eastAsia="宋体" w:cs="宋体"/>
                <w:snapToGrid w:val="0"/>
                <w:color w:val="auto"/>
                <w:kern w:val="0"/>
                <w:sz w:val="20"/>
                <w:szCs w:val="20"/>
                <w:highlight w:val="none"/>
                <w:lang w:eastAsia="zh-CN" w:bidi="ar"/>
              </w:rPr>
              <w:t>、</w:t>
            </w:r>
            <w:r>
              <w:rPr>
                <w:rFonts w:hint="eastAsia" w:ascii="宋体" w:hAnsi="宋体" w:eastAsia="宋体" w:cs="宋体"/>
                <w:snapToGrid w:val="0"/>
                <w:color w:val="auto"/>
                <w:kern w:val="0"/>
                <w:sz w:val="20"/>
                <w:szCs w:val="20"/>
                <w:highlight w:val="none"/>
                <w:lang w:bidi="ar"/>
              </w:rPr>
              <w:t>供述不一致检测结果信息</w:t>
            </w:r>
          </w:p>
        </w:tc>
      </w:tr>
      <w:tr w14:paraId="0BC9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vAlign w:val="center"/>
          </w:tcPr>
          <w:p w14:paraId="0826A055">
            <w:pPr>
              <w:widowControl/>
              <w:numPr>
                <w:ilvl w:val="0"/>
                <w:numId w:val="3"/>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restart"/>
            <w:vAlign w:val="center"/>
          </w:tcPr>
          <w:p w14:paraId="2D46D06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系统对接等</w:t>
            </w:r>
          </w:p>
        </w:tc>
        <w:tc>
          <w:tcPr>
            <w:tcW w:w="1586" w:type="dxa"/>
            <w:vAlign w:val="center"/>
          </w:tcPr>
          <w:p w14:paraId="693B8EE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系统对接</w:t>
            </w:r>
          </w:p>
        </w:tc>
        <w:tc>
          <w:tcPr>
            <w:tcW w:w="1537" w:type="dxa"/>
            <w:vAlign w:val="center"/>
          </w:tcPr>
          <w:p w14:paraId="52ECB53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3443" w:type="dxa"/>
            <w:vAlign w:val="center"/>
          </w:tcPr>
          <w:p w14:paraId="6EEA26B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需包含郑安智警平台、交管应用平台、执法办案平台、智能审讯系统的对接。</w:t>
            </w:r>
          </w:p>
        </w:tc>
      </w:tr>
      <w:tr w14:paraId="58E5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4" w:type="dxa"/>
            <w:vAlign w:val="center"/>
          </w:tcPr>
          <w:p w14:paraId="092CD09E">
            <w:pPr>
              <w:widowControl/>
              <w:numPr>
                <w:ilvl w:val="0"/>
                <w:numId w:val="3"/>
              </w:numPr>
              <w:ind w:left="635" w:leftChars="0" w:hanging="425" w:firstLineChars="0"/>
              <w:jc w:val="center"/>
              <w:rPr>
                <w:rFonts w:hint="eastAsia" w:ascii="宋体" w:hAnsi="宋体" w:eastAsia="宋体" w:cs="宋体"/>
                <w:color w:val="auto"/>
                <w:kern w:val="0"/>
                <w:sz w:val="22"/>
                <w:szCs w:val="22"/>
                <w:highlight w:val="none"/>
              </w:rPr>
            </w:pPr>
          </w:p>
        </w:tc>
        <w:tc>
          <w:tcPr>
            <w:tcW w:w="1192" w:type="dxa"/>
            <w:vMerge w:val="continue"/>
            <w:vAlign w:val="center"/>
          </w:tcPr>
          <w:p w14:paraId="619B084A">
            <w:pPr>
              <w:widowControl/>
              <w:jc w:val="left"/>
              <w:rPr>
                <w:rFonts w:hint="eastAsia" w:ascii="宋体" w:hAnsi="宋体" w:eastAsia="宋体" w:cs="宋体"/>
                <w:color w:val="auto"/>
                <w:kern w:val="0"/>
                <w:sz w:val="22"/>
                <w:szCs w:val="22"/>
                <w:highlight w:val="none"/>
              </w:rPr>
            </w:pPr>
          </w:p>
        </w:tc>
        <w:tc>
          <w:tcPr>
            <w:tcW w:w="1586" w:type="dxa"/>
            <w:vAlign w:val="center"/>
          </w:tcPr>
          <w:p w14:paraId="2410133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算法功能建设</w:t>
            </w:r>
          </w:p>
        </w:tc>
        <w:tc>
          <w:tcPr>
            <w:tcW w:w="1537" w:type="dxa"/>
            <w:vAlign w:val="center"/>
          </w:tcPr>
          <w:p w14:paraId="65D48C7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AI警官</w:t>
            </w:r>
          </w:p>
        </w:tc>
        <w:tc>
          <w:tcPr>
            <w:tcW w:w="3443" w:type="dxa"/>
            <w:vAlign w:val="center"/>
          </w:tcPr>
          <w:p w14:paraId="2D337FF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需包含公安语义理解算法、警务逻辑推理算法、警务内容生成算法。</w:t>
            </w:r>
          </w:p>
        </w:tc>
      </w:tr>
    </w:tbl>
    <w:p w14:paraId="5CBD6808">
      <w:pPr>
        <w:rPr>
          <w:rFonts w:hint="eastAsia" w:ascii="宋体" w:hAnsi="宋体" w:eastAsia="宋体" w:cs="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7C9E2"/>
    <w:multiLevelType w:val="singleLevel"/>
    <w:tmpl w:val="9027C9E2"/>
    <w:lvl w:ilvl="0" w:tentative="0">
      <w:start w:val="1"/>
      <w:numFmt w:val="chineseCounting"/>
      <w:suff w:val="nothing"/>
      <w:lvlText w:val="%1、"/>
      <w:lvlJc w:val="left"/>
      <w:rPr>
        <w:rFonts w:hint="eastAsia"/>
      </w:rPr>
    </w:lvl>
  </w:abstractNum>
  <w:abstractNum w:abstractNumId="1">
    <w:nsid w:val="128C3973"/>
    <w:multiLevelType w:val="singleLevel"/>
    <w:tmpl w:val="128C3973"/>
    <w:lvl w:ilvl="0" w:tentative="0">
      <w:start w:val="1"/>
      <w:numFmt w:val="decimal"/>
      <w:lvlText w:val="%1"/>
      <w:lvlJc w:val="left"/>
      <w:pPr>
        <w:tabs>
          <w:tab w:val="left" w:pos="420"/>
        </w:tabs>
        <w:ind w:left="635" w:leftChars="0" w:hanging="425" w:firstLineChars="0"/>
      </w:pPr>
      <w:rPr>
        <w:rFonts w:hint="default"/>
      </w:rPr>
    </w:lvl>
  </w:abstractNum>
  <w:abstractNum w:abstractNumId="2">
    <w:nsid w:val="2E74AFBE"/>
    <w:multiLevelType w:val="singleLevel"/>
    <w:tmpl w:val="2E74AFBE"/>
    <w:lvl w:ilvl="0" w:tentative="0">
      <w:start w:val="1"/>
      <w:numFmt w:val="decimal"/>
      <w:lvlText w:val="%1"/>
      <w:lvlJc w:val="left"/>
      <w:pPr>
        <w:tabs>
          <w:tab w:val="left" w:pos="420"/>
        </w:tabs>
        <w:ind w:left="635" w:leftChars="0" w:hanging="425" w:firstLineChars="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61235"/>
    <w:rsid w:val="12D35103"/>
    <w:rsid w:val="2EE87609"/>
    <w:rsid w:val="471D26BF"/>
    <w:rsid w:val="57D64B79"/>
    <w:rsid w:val="585F489C"/>
    <w:rsid w:val="6BC86867"/>
    <w:rsid w:val="6D366B48"/>
    <w:rsid w:val="732950C8"/>
    <w:rsid w:val="79B25E17"/>
    <w:rsid w:val="7D536D19"/>
    <w:rsid w:val="DFFFA0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1211</Words>
  <Characters>1557</Characters>
  <Lines>1</Lines>
  <Paragraphs>1</Paragraphs>
  <TotalTime>1</TotalTime>
  <ScaleCrop>false</ScaleCrop>
  <LinksUpToDate>false</LinksUpToDate>
  <CharactersWithSpaces>1585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2025-11-13T17:34:00Z</dcterms:created>
  <dc:creator>81038</dc:creator>
  <cp:lastModifiedBy>程萌</cp:lastModifiedBy>
  <dcterms:modified xsi:type="dcterms:W3CDTF">2025-11-14T11:59:54Z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eyJoZGlkIjoiOWYzM2E4Y2U1ZWM4ZTQzM2NmZDhiMmI3OTEzMDM4OTgiLCJ1c2VySWQiOiIxNjE2MjM4MjM0In0=</vt:lpwstr>
  </property>
  <property fmtid="{D5CDD505-2E9C-101B-9397-08002B2CF9AE}" pid="4" name="ICV">
    <vt:lpwstr>BC9EE59978B144609EA0CE6C14FC6CD9_12</vt:lpwstr>
  </property>
</Properties>
</file>