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rPr>
        <w:t>郑州市妇幼保健院设备购置合同</w:t>
      </w:r>
      <w:r>
        <w:rPr>
          <w:rFonts w:hint="eastAsia"/>
          <w:sz w:val="36"/>
          <w:szCs w:val="36"/>
          <w:lang w:val="en-US" w:eastAsia="zh-CN"/>
        </w:rPr>
        <w:t xml:space="preserve"> </w:t>
      </w:r>
    </w:p>
    <w:p>
      <w:pPr>
        <w:jc w:val="center"/>
        <w:rPr>
          <w:rFonts w:hint="eastAsia"/>
          <w:sz w:val="36"/>
          <w:szCs w:val="36"/>
          <w:lang w:val="en-US" w:eastAsia="zh-CN"/>
        </w:rPr>
      </w:pPr>
    </w:p>
    <w:p>
      <w:pPr>
        <w:rPr>
          <w:rFonts w:hint="eastAsia"/>
        </w:rPr>
      </w:pPr>
      <w:r>
        <w:rPr>
          <w:rFonts w:hint="eastAsia"/>
        </w:rPr>
        <w:t xml:space="preserve">  </w:t>
      </w:r>
      <w:r>
        <w:rPr>
          <w:rFonts w:hint="eastAsia"/>
          <w:lang w:val="en-US" w:eastAsia="zh-CN"/>
        </w:rPr>
        <w:t>采购编号</w:t>
      </w:r>
      <w:r>
        <w:rPr>
          <w:rFonts w:hint="eastAsia"/>
        </w:rPr>
        <w:t xml:space="preserve">                                 </w:t>
      </w:r>
      <w:r>
        <w:rPr>
          <w:rFonts w:hint="eastAsia"/>
          <w:lang w:val="en-US" w:eastAsia="zh-CN"/>
        </w:rPr>
        <w:t xml:space="preserve">   </w:t>
      </w:r>
      <w:r>
        <w:rPr>
          <w:rFonts w:hint="eastAsia"/>
        </w:rPr>
        <w:t xml:space="preserve"> 合同编号：</w:t>
      </w:r>
    </w:p>
    <w:p>
      <w:pPr>
        <w:rPr>
          <w:rFonts w:hint="eastAsia"/>
        </w:rPr>
      </w:pPr>
    </w:p>
    <w:p>
      <w:pPr>
        <w:ind w:firstLine="210" w:firstLineChars="100"/>
        <w:rPr>
          <w:rFonts w:hint="eastAsia"/>
        </w:rPr>
      </w:pPr>
      <w:r>
        <w:rPr>
          <w:rFonts w:hint="eastAsia"/>
        </w:rPr>
        <w:t xml:space="preserve">采购方：(甲方)郑州市妇幼保健院            </w:t>
      </w:r>
      <w:r>
        <w:rPr>
          <w:rFonts w:hint="eastAsia"/>
          <w:lang w:val="en-US" w:eastAsia="zh-CN"/>
        </w:rPr>
        <w:t xml:space="preserve">   </w:t>
      </w:r>
      <w:r>
        <w:rPr>
          <w:rFonts w:hint="eastAsia"/>
        </w:rPr>
        <w:t>供货方：（乙方）</w:t>
      </w:r>
    </w:p>
    <w:p>
      <w:pPr>
        <w:ind w:firstLine="210" w:firstLineChars="100"/>
        <w:rPr>
          <w:rFonts w:hint="eastAsia"/>
        </w:rPr>
      </w:pPr>
      <w:r>
        <w:rPr>
          <w:rFonts w:hint="eastAsia"/>
        </w:rPr>
        <w:t xml:space="preserve">地址：郑州市金水路41号                  </w:t>
      </w:r>
      <w:r>
        <w:rPr>
          <w:rFonts w:hint="eastAsia"/>
          <w:lang w:val="en-US" w:eastAsia="zh-CN"/>
        </w:rPr>
        <w:t xml:space="preserve">   </w:t>
      </w:r>
      <w:r>
        <w:rPr>
          <w:rFonts w:hint="eastAsia"/>
        </w:rPr>
        <w:t>地址：</w:t>
      </w:r>
    </w:p>
    <w:p>
      <w:pPr>
        <w:ind w:firstLine="210" w:firstLineChars="100"/>
        <w:rPr>
          <w:rFonts w:hint="eastAsia"/>
        </w:rPr>
      </w:pPr>
      <w:r>
        <w:rPr>
          <w:rFonts w:hint="eastAsia"/>
        </w:rPr>
        <w:t xml:space="preserve">联系电话：                               </w:t>
      </w:r>
      <w:r>
        <w:rPr>
          <w:rFonts w:hint="eastAsia"/>
          <w:lang w:val="en-US" w:eastAsia="zh-CN"/>
        </w:rPr>
        <w:t xml:space="preserve">   </w:t>
      </w:r>
      <w:r>
        <w:rPr>
          <w:rFonts w:hint="eastAsia"/>
        </w:rPr>
        <w:t>联系电话：</w:t>
      </w:r>
    </w:p>
    <w:p>
      <w:pPr>
        <w:rPr>
          <w:rFonts w:hint="eastAsia"/>
        </w:rPr>
      </w:pPr>
    </w:p>
    <w:p>
      <w:pPr>
        <w:ind w:firstLine="435"/>
        <w:rPr>
          <w:rFonts w:hint="eastAsia"/>
        </w:rPr>
      </w:pPr>
      <w:r>
        <w:rPr>
          <w:rFonts w:hint="eastAsia"/>
        </w:rPr>
        <w:t>根据《中华人民共和国</w:t>
      </w:r>
      <w:r>
        <w:rPr>
          <w:rFonts w:hint="eastAsia"/>
          <w:lang w:eastAsia="zh-CN"/>
        </w:rPr>
        <w:t>民法典</w:t>
      </w:r>
      <w:r>
        <w:rPr>
          <w:rFonts w:hint="eastAsia"/>
        </w:rPr>
        <w:t>》以及相关法律、法规的规定，经甲、乙双方协商，就甲方采购乙方医疗设备事宜，双方自愿签订如下</w:t>
      </w:r>
      <w:r>
        <w:rPr>
          <w:rFonts w:hint="eastAsia"/>
          <w:u w:val="none"/>
        </w:rPr>
        <w:t>合同</w:t>
      </w:r>
      <w:r>
        <w:rPr>
          <w:rFonts w:hint="eastAsia"/>
        </w:rPr>
        <w:t>；</w:t>
      </w:r>
    </w:p>
    <w:p>
      <w:pPr>
        <w:ind w:firstLine="435"/>
        <w:rPr>
          <w:rFonts w:hint="eastAsia"/>
        </w:rPr>
      </w:pPr>
      <w:r>
        <w:rPr>
          <w:rFonts w:hint="eastAsia"/>
          <w:b/>
        </w:rPr>
        <w:t>第一条</w:t>
      </w:r>
      <w:r>
        <w:rPr>
          <w:rFonts w:hint="eastAsia"/>
        </w:rPr>
        <w:t xml:space="preserve"> 设备的名称、规格、单价、数量及产地等详见明细表，明细表是合同的一部分。乙方应随货免费提供设备的技术文件，包括相应的图纸、操作手册、维护手册、质量保证文件、合格证、配置清单、服务指南等。</w:t>
      </w:r>
    </w:p>
    <w:tbl>
      <w:tblPr>
        <w:tblStyle w:val="2"/>
        <w:tblW w:w="85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2324"/>
        <w:gridCol w:w="966"/>
        <w:gridCol w:w="135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324" w:type="dxa"/>
            <w:noWrap w:val="0"/>
            <w:vAlign w:val="top"/>
          </w:tcPr>
          <w:p>
            <w:pPr>
              <w:spacing w:line="600" w:lineRule="auto"/>
              <w:jc w:val="center"/>
              <w:rPr>
                <w:rFonts w:hint="eastAsia"/>
              </w:rPr>
            </w:pPr>
            <w:r>
              <w:rPr>
                <w:rFonts w:hint="eastAsia"/>
              </w:rPr>
              <w:t>产品名称</w:t>
            </w:r>
          </w:p>
        </w:tc>
        <w:tc>
          <w:tcPr>
            <w:tcW w:w="2324" w:type="dxa"/>
            <w:noWrap w:val="0"/>
            <w:vAlign w:val="top"/>
          </w:tcPr>
          <w:p>
            <w:pPr>
              <w:spacing w:line="600" w:lineRule="auto"/>
              <w:jc w:val="center"/>
              <w:rPr>
                <w:rFonts w:hint="eastAsia"/>
              </w:rPr>
            </w:pPr>
            <w:r>
              <w:rPr>
                <w:rFonts w:hint="eastAsia"/>
              </w:rPr>
              <w:t>品牌及型号</w:t>
            </w:r>
          </w:p>
        </w:tc>
        <w:tc>
          <w:tcPr>
            <w:tcW w:w="966" w:type="dxa"/>
            <w:noWrap w:val="0"/>
            <w:vAlign w:val="top"/>
          </w:tcPr>
          <w:p>
            <w:pPr>
              <w:spacing w:line="600" w:lineRule="auto"/>
              <w:jc w:val="center"/>
              <w:rPr>
                <w:rFonts w:hint="eastAsia"/>
              </w:rPr>
            </w:pPr>
            <w:r>
              <w:rPr>
                <w:rFonts w:hint="eastAsia"/>
              </w:rPr>
              <w:t>产地</w:t>
            </w:r>
          </w:p>
        </w:tc>
        <w:tc>
          <w:tcPr>
            <w:tcW w:w="1357" w:type="dxa"/>
            <w:noWrap w:val="0"/>
            <w:vAlign w:val="top"/>
          </w:tcPr>
          <w:p>
            <w:pPr>
              <w:spacing w:line="600" w:lineRule="auto"/>
              <w:jc w:val="center"/>
              <w:rPr>
                <w:rFonts w:hint="eastAsia"/>
              </w:rPr>
            </w:pPr>
            <w:r>
              <w:rPr>
                <w:rFonts w:hint="eastAsia"/>
              </w:rPr>
              <w:t>数量（台</w:t>
            </w:r>
            <w:r>
              <w:rPr>
                <w:rFonts w:hint="eastAsia"/>
                <w:lang w:val="en-US" w:eastAsia="zh-CN"/>
              </w:rPr>
              <w:t>/套</w:t>
            </w:r>
            <w:r>
              <w:rPr>
                <w:rFonts w:hint="eastAsia"/>
              </w:rPr>
              <w:t>）</w:t>
            </w:r>
          </w:p>
        </w:tc>
        <w:tc>
          <w:tcPr>
            <w:tcW w:w="1608" w:type="dxa"/>
            <w:noWrap w:val="0"/>
            <w:vAlign w:val="top"/>
          </w:tcPr>
          <w:p>
            <w:pPr>
              <w:spacing w:line="600" w:lineRule="auto"/>
              <w:jc w:val="center"/>
              <w:rPr>
                <w:rFonts w:hint="eastAsia"/>
              </w:rPr>
            </w:pPr>
            <w:r>
              <w:rPr>
                <w:rFonts w:hint="eastAsia"/>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324" w:type="dxa"/>
            <w:noWrap w:val="0"/>
            <w:vAlign w:val="top"/>
          </w:tcPr>
          <w:p>
            <w:pPr>
              <w:spacing w:line="600" w:lineRule="auto"/>
              <w:jc w:val="center"/>
              <w:rPr>
                <w:rFonts w:hint="eastAsia"/>
              </w:rPr>
            </w:pPr>
          </w:p>
        </w:tc>
        <w:tc>
          <w:tcPr>
            <w:tcW w:w="2324" w:type="dxa"/>
            <w:noWrap w:val="0"/>
            <w:vAlign w:val="top"/>
          </w:tcPr>
          <w:p>
            <w:pPr>
              <w:spacing w:line="600" w:lineRule="auto"/>
              <w:rPr>
                <w:rFonts w:hint="eastAsia"/>
              </w:rPr>
            </w:pPr>
          </w:p>
        </w:tc>
        <w:tc>
          <w:tcPr>
            <w:tcW w:w="966" w:type="dxa"/>
            <w:noWrap w:val="0"/>
            <w:vAlign w:val="top"/>
          </w:tcPr>
          <w:p>
            <w:pPr>
              <w:spacing w:line="600" w:lineRule="auto"/>
              <w:rPr>
                <w:rFonts w:hint="eastAsia"/>
              </w:rPr>
            </w:pPr>
          </w:p>
        </w:tc>
        <w:tc>
          <w:tcPr>
            <w:tcW w:w="1357" w:type="dxa"/>
            <w:noWrap w:val="0"/>
            <w:vAlign w:val="top"/>
          </w:tcPr>
          <w:p>
            <w:pPr>
              <w:spacing w:line="600" w:lineRule="auto"/>
              <w:rPr>
                <w:rFonts w:hint="eastAsia"/>
              </w:rPr>
            </w:pPr>
          </w:p>
        </w:tc>
        <w:tc>
          <w:tcPr>
            <w:tcW w:w="1608" w:type="dxa"/>
            <w:noWrap w:val="0"/>
            <w:vAlign w:val="top"/>
          </w:tcPr>
          <w:p>
            <w:pPr>
              <w:spacing w:line="6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324" w:type="dxa"/>
            <w:noWrap w:val="0"/>
            <w:vAlign w:val="top"/>
          </w:tcPr>
          <w:p>
            <w:pPr>
              <w:spacing w:line="600" w:lineRule="auto"/>
              <w:jc w:val="center"/>
              <w:rPr>
                <w:rFonts w:hint="eastAsia"/>
              </w:rPr>
            </w:pPr>
            <w:r>
              <w:rPr>
                <w:rFonts w:hint="eastAsia"/>
              </w:rPr>
              <w:t>总价（大小写）</w:t>
            </w:r>
          </w:p>
        </w:tc>
        <w:tc>
          <w:tcPr>
            <w:tcW w:w="6255" w:type="dxa"/>
            <w:gridSpan w:val="4"/>
            <w:noWrap w:val="0"/>
            <w:vAlign w:val="top"/>
          </w:tcPr>
          <w:p>
            <w:pPr>
              <w:spacing w:line="600" w:lineRule="auto"/>
              <w:rPr>
                <w:rFonts w:hint="eastAsia"/>
              </w:rPr>
            </w:pPr>
            <w:r>
              <w:rPr>
                <w:rFonts w:hint="eastAsia"/>
              </w:rPr>
              <w:t>大写：                              （小写：          ）</w:t>
            </w:r>
          </w:p>
        </w:tc>
      </w:tr>
    </w:tbl>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b/>
        </w:rPr>
      </w:pPr>
      <w:r>
        <w:rPr>
          <w:rFonts w:hint="eastAsia"/>
          <w:b/>
        </w:rPr>
        <w:t>第二条 技术标准</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rPr>
      </w:pPr>
      <w:r>
        <w:rPr>
          <w:rFonts w:hint="eastAsia"/>
        </w:rPr>
        <w:t>在符合国家相关技术标准的基础上，甲、乙双方根据投标文件和合同约定《见附表》进行技术验收，乙方保证所提供货物为原厂原装合格正品，设备型号和配置与招标文件相符</w:t>
      </w:r>
      <w:r>
        <w:rPr>
          <w:rFonts w:hint="eastAsia"/>
          <w:color w:val="000000"/>
        </w:rPr>
        <w:t>，具有国家食品药品监督管理局颁发的医疗器械产品注册证</w:t>
      </w:r>
      <w:r>
        <w:rPr>
          <w:rFonts w:hint="eastAsia"/>
          <w:color w:val="000000"/>
          <w:lang w:eastAsia="zh-CN"/>
        </w:rPr>
        <w:t>，</w:t>
      </w:r>
      <w:r>
        <w:rPr>
          <w:rFonts w:hint="eastAsia"/>
          <w:color w:val="000000"/>
          <w:lang w:val="en-US" w:eastAsia="zh-CN"/>
        </w:rPr>
        <w:t>应提供相关知识产权证明</w:t>
      </w:r>
      <w:r>
        <w:rPr>
          <w:rFonts w:hint="eastAsia"/>
          <w:color w:val="000000"/>
        </w:rPr>
        <w:t>。若为</w:t>
      </w:r>
      <w:r>
        <w:rPr>
          <w:rFonts w:hint="eastAsia"/>
        </w:rPr>
        <w:t>原装进口产品需提供该设备商检报告及报关单。</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rPr>
      </w:pPr>
      <w:r>
        <w:rPr>
          <w:rFonts w:hint="eastAsia"/>
          <w:b/>
        </w:rPr>
        <w:t>第三条</w:t>
      </w:r>
      <w:r>
        <w:rPr>
          <w:rFonts w:hint="eastAsia"/>
        </w:rPr>
        <w:t xml:space="preserve"> </w:t>
      </w:r>
      <w:r>
        <w:rPr>
          <w:rFonts w:hint="eastAsia"/>
          <w:b/>
        </w:rPr>
        <w:t>供货时间及地点</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rPr>
      </w:pPr>
      <w:r>
        <w:rPr>
          <w:rFonts w:hint="eastAsia"/>
        </w:rPr>
        <w:t>交付时间：合同签订</w:t>
      </w:r>
      <w:r>
        <w:rPr>
          <w:rFonts w:hint="eastAsia" w:ascii="宋体" w:hAnsi="宋体"/>
        </w:rPr>
        <w:t>后</w:t>
      </w:r>
      <w:r>
        <w:rPr>
          <w:rFonts w:hint="eastAsia" w:ascii="宋体" w:hAnsi="宋体"/>
          <w:u w:val="single"/>
          <w:lang w:val="en-US" w:eastAsia="zh-CN"/>
        </w:rPr>
        <w:t xml:space="preserve">   </w:t>
      </w:r>
      <w:r>
        <w:rPr>
          <w:rFonts w:hint="eastAsia"/>
        </w:rPr>
        <w:t>个工作日之内乙方向甲方交付设备。</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eastAsia="宋体"/>
          <w:lang w:eastAsia="zh-CN"/>
        </w:rPr>
      </w:pPr>
      <w:r>
        <w:rPr>
          <w:rFonts w:hint="eastAsia"/>
        </w:rPr>
        <w:t>交付地点：郑州市妇幼保健院指定地点</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eastAsia="宋体"/>
          <w:lang w:eastAsia="zh-CN"/>
        </w:rPr>
      </w:pPr>
      <w:r>
        <w:rPr>
          <w:rFonts w:hint="eastAsia"/>
        </w:rPr>
        <w:t>乙方送货并承担运费、保险费、税费等</w:t>
      </w:r>
      <w:r>
        <w:rPr>
          <w:rFonts w:hint="eastAsia"/>
          <w:lang w:eastAsia="zh-CN"/>
        </w:rPr>
        <w:t>，</w:t>
      </w:r>
      <w:r>
        <w:rPr>
          <w:rFonts w:hint="eastAsia"/>
        </w:rPr>
        <w:t>货物交付甲方后转移所有权。</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b/>
        </w:rPr>
      </w:pPr>
      <w:r>
        <w:rPr>
          <w:rFonts w:hint="eastAsia"/>
          <w:b/>
        </w:rPr>
        <w:t>第四条 验收标准及方式</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rPr>
      </w:pPr>
      <w:r>
        <w:rPr>
          <w:rFonts w:hint="eastAsia"/>
        </w:rPr>
        <w:t>甲、乙双方共同对设备进行开箱清点，安装调试验收，如果发现设备型号和配置与招标文件不相符、数量不足或有质量、技术等问题，乙方应在</w:t>
      </w:r>
      <w:r>
        <w:rPr>
          <w:rFonts w:hint="eastAsia"/>
          <w:u w:val="single"/>
        </w:rPr>
        <w:t>20</w:t>
      </w:r>
      <w:r>
        <w:rPr>
          <w:rFonts w:hint="eastAsia"/>
        </w:rPr>
        <w:t>日内，按照甲方的要求，采取补足、更换或退货等处理措施，并承担由此发生的一切损失和费用。货物交付验收合格后转移所有权。</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rPr>
      </w:pPr>
      <w:r>
        <w:rPr>
          <w:rFonts w:hint="eastAsia"/>
        </w:rPr>
        <w:t>设备到货后，乙方应在接到甲方通知后，按甲方规定时间内完成设备的安装调试。</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b/>
        </w:rPr>
      </w:pPr>
      <w:r>
        <w:rPr>
          <w:rFonts w:hint="eastAsia"/>
          <w:b/>
        </w:rPr>
        <w:t>第五条 货款及支付方式</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imes New Roman" w:hAnsi="Times New Roman" w:eastAsia="宋体" w:cs="Times New Roman"/>
        </w:rPr>
      </w:pPr>
      <w:r>
        <w:rPr>
          <w:rFonts w:hint="eastAsia" w:ascii="Times New Roman" w:hAnsi="Times New Roman" w:eastAsia="宋体" w:cs="Times New Roman"/>
        </w:rPr>
        <w:t>1.合同签订后，设备到货、安装验收合格后支付设备总款的95% ；</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imes New Roman" w:hAnsi="Times New Roman" w:eastAsia="宋体" w:cs="Times New Roman"/>
        </w:rPr>
      </w:pPr>
      <w:r>
        <w:rPr>
          <w:rFonts w:hint="eastAsia" w:ascii="Times New Roman" w:hAnsi="Times New Roman" w:eastAsia="宋体" w:cs="Times New Roman"/>
        </w:rPr>
        <w:t>2.设备验收合格、正常使用    年后甲方向乙方支付合同总金额的5%。如因设备质量问题、乙方安装不当导致甲方产生损失的，甲方可从余款中先行扣除赔偿费用。</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b/>
        </w:rPr>
      </w:pPr>
      <w:r>
        <w:rPr>
          <w:rFonts w:hint="eastAsia"/>
          <w:b/>
        </w:rPr>
        <w:t>第六条 售后服务及质量保证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rPr>
        <w:t>甲方收到货物后应在</w:t>
      </w:r>
      <w:r>
        <w:rPr>
          <w:rFonts w:hint="eastAsia"/>
          <w:lang w:eastAsia="zh-CN"/>
        </w:rPr>
        <w:t>安装调试后</w:t>
      </w:r>
      <w:r>
        <w:rPr>
          <w:rFonts w:hint="eastAsia"/>
          <w:lang w:val="en-US" w:eastAsia="zh-CN"/>
        </w:rPr>
        <w:t>7</w:t>
      </w:r>
      <w:r>
        <w:rPr>
          <w:rFonts w:hint="eastAsia"/>
        </w:rPr>
        <w:t>日</w:t>
      </w:r>
      <w:r>
        <w:rPr>
          <w:rFonts w:hint="eastAsia"/>
          <w:lang w:eastAsia="zh-CN"/>
        </w:rPr>
        <w:t>内</w:t>
      </w:r>
      <w:r>
        <w:rPr>
          <w:rFonts w:hint="eastAsia"/>
        </w:rPr>
        <w:t>验收，乙方对货物实行三包（包修、包换、包退）。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rPr>
        <w:t>乙方负责免费提供设备安装所需的专用工具盒辅助材料、易耗件。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rPr>
        <w:t xml:space="preserve">供应商在本地设置配件仓库，保证产品、配件长期供应，保证机器设备所需专用耗材长年供应，保证常用配件 </w:t>
      </w:r>
      <w:r>
        <w:rPr>
          <w:rFonts w:hint="eastAsia"/>
          <w:u w:val="single"/>
        </w:rPr>
        <w:t xml:space="preserve"> </w:t>
      </w:r>
      <w:r>
        <w:rPr>
          <w:rFonts w:hint="eastAsia"/>
          <w:u w:val="single"/>
          <w:lang w:val="en-US" w:eastAsia="zh-CN"/>
        </w:rPr>
        <w:t xml:space="preserve">  </w:t>
      </w:r>
      <w:r>
        <w:rPr>
          <w:rFonts w:hint="eastAsia"/>
        </w:rPr>
        <w:t xml:space="preserve"> 小时内到达现场，对更换或维修的零部件从更换或修复投入使用之日起计算质量保证期。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rPr>
        <w:t xml:space="preserve">整机免费质保期为 </w:t>
      </w:r>
      <w:r>
        <w:rPr>
          <w:rFonts w:hint="eastAsia"/>
          <w:u w:val="single"/>
        </w:rPr>
        <w:t xml:space="preserve">    年</w:t>
      </w:r>
      <w:r>
        <w:rPr>
          <w:rFonts w:hint="eastAsia"/>
        </w:rPr>
        <w:t xml:space="preserve">，自设备安装调试合格之日起算，在免费质保期内，乙方履行保修义务应免收材料和工人等一切费用，免费质保期满后，终身免费保修，更换配件费用除外，免费提供整机终身技术升级。乙方自收到甲方电话、传真等维修要求后应当在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小时内电话响应，</w:t>
      </w:r>
      <w:r>
        <w:rPr>
          <w:rFonts w:hint="eastAsia"/>
          <w:u w:val="single"/>
          <w:lang w:val="en-US" w:eastAsia="zh-CN"/>
        </w:rPr>
        <w:t xml:space="preserve">  </w:t>
      </w:r>
      <w:r>
        <w:rPr>
          <w:rFonts w:hint="eastAsia"/>
        </w:rPr>
        <w:t>小时内原厂工程师必须到达现场解决问题，包括节假日。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rPr>
        <w:t>保证开机率</w:t>
      </w:r>
      <w:r>
        <w:rPr>
          <w:rFonts w:hint="eastAsia" w:ascii="Times New Roman" w:hAnsi="Times New Roman" w:eastAsia="宋体" w:cs="Times New Roman"/>
          <w:lang w:val="en-US" w:eastAsia="zh-CN"/>
        </w:rPr>
        <w:t>≥</w:t>
      </w:r>
      <w:r>
        <w:rPr>
          <w:rFonts w:hint="eastAsia" w:ascii="Times New Roman" w:hAnsi="Times New Roman" w:eastAsia="宋体" w:cs="Times New Roman"/>
        </w:rPr>
        <w:t>98%；如果开机率低于98%，每低1%延长一个月质保期；如果开机率低于90%，每低1%延长二个月质保期</w:t>
      </w:r>
      <w:r>
        <w:rPr>
          <w:rFonts w:hint="eastAsia" w:ascii="Times New Roman" w:hAnsi="Times New Roman" w:eastAsia="宋体" w:cs="Times New Roman"/>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rPr>
        <w:t>设备运至甲方指定地点，乙方应指派技师对甲方操作人员安装、使用设备后进行免费培训两次，间隔时间为半年，直至甲方操作人员能熟练操作为止，乙方承担培训技师的薪资、差旅等全部费用。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rPr>
        <w:t>乙方技术人员负责对所供设备每叁个月进行一次现场回访、免费巡检保养，免费质保期内每出现一次因质量问题引起的故障推迟三个月付款。质保期内三次以上因质量问题引起的故障（人为因素除外），乙方应负责免费更换新机。</w:t>
      </w:r>
    </w:p>
    <w:p>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b/>
        </w:rPr>
      </w:pPr>
      <w:r>
        <w:rPr>
          <w:rFonts w:hint="eastAsia"/>
          <w:b/>
        </w:rPr>
        <w:t>第七条 违约责任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rPr>
        <w:t>乙方如果不能按时供货，甲方有权终止合同，如果甲方要求乙方继续供货，乙方从合同约定交货之日起，按每日</w:t>
      </w:r>
      <w:r>
        <w:rPr>
          <w:rFonts w:hint="eastAsia" w:ascii="Times New Roman" w:hAnsi="Times New Roman" w:eastAsia="宋体" w:cs="Times New Roman"/>
          <w:lang w:val="en-US"/>
        </w:rPr>
        <w:t>未交货品价款</w:t>
      </w:r>
      <w:r>
        <w:rPr>
          <w:rFonts w:hint="eastAsia" w:ascii="Times New Roman" w:hAnsi="Times New Roman" w:eastAsia="宋体" w:cs="Times New Roman"/>
        </w:rPr>
        <w:t>的 2‰ 赔付，直至货到之日为止。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rPr>
        <w:t>如非乙方产品质量问题，甲方不得退货，否则甲方按合同的总金额 1‰ 支付违约金。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rPr>
        <w:t>如乙方所供设备不符合约定的质量标准，乙方应在接甲方通知  20  日内更换合格产品，承担更换货品的相关费用，每逾期一日，则承担</w:t>
      </w:r>
      <w:r>
        <w:rPr>
          <w:rFonts w:hint="eastAsia" w:ascii="Times New Roman" w:hAnsi="Times New Roman" w:eastAsia="宋体" w:cs="Times New Roman"/>
          <w:lang w:val="en-US"/>
        </w:rPr>
        <w:t>不合格货</w:t>
      </w:r>
      <w:bookmarkStart w:id="0" w:name="_GoBack"/>
      <w:bookmarkEnd w:id="0"/>
      <w:r>
        <w:rPr>
          <w:rFonts w:hint="eastAsia" w:ascii="Times New Roman" w:hAnsi="Times New Roman" w:eastAsia="宋体" w:cs="Times New Roman"/>
          <w:lang w:val="en-US"/>
        </w:rPr>
        <w:t>品价款</w:t>
      </w:r>
      <w:r>
        <w:rPr>
          <w:rFonts w:hint="eastAsia" w:ascii="Times New Roman" w:hAnsi="Times New Roman" w:eastAsia="宋体" w:cs="Times New Roman"/>
          <w:lang w:val="en-US" w:eastAsia="zh-CN"/>
        </w:rPr>
        <w:t>金额</w:t>
      </w:r>
      <w:r>
        <w:rPr>
          <w:rFonts w:hint="eastAsia" w:ascii="Times New Roman" w:hAnsi="Times New Roman" w:eastAsia="宋体" w:cs="Times New Roman"/>
        </w:rPr>
        <w:t>的 1‰ 违约金。三十日内仍不能更换合格产品的，甲方有权解除合同，乙方应当支付甲方</w:t>
      </w:r>
      <w:r>
        <w:rPr>
          <w:rFonts w:hint="eastAsia" w:ascii="Times New Roman" w:hAnsi="Times New Roman" w:eastAsia="宋体" w:cs="Times New Roman"/>
          <w:lang w:val="en-US"/>
        </w:rPr>
        <w:t>不合格货品价款</w:t>
      </w:r>
      <w:r>
        <w:rPr>
          <w:rFonts w:hint="eastAsia" w:ascii="Times New Roman" w:hAnsi="Times New Roman" w:eastAsia="宋体" w:cs="Times New Roman"/>
          <w:lang w:val="en-US" w:eastAsia="zh-CN"/>
        </w:rPr>
        <w:t>金额</w:t>
      </w:r>
      <w:r>
        <w:rPr>
          <w:rFonts w:hint="eastAsia" w:ascii="Times New Roman" w:hAnsi="Times New Roman" w:eastAsia="宋体" w:cs="Times New Roman"/>
        </w:rPr>
        <w:t>的20%作为违约金，并承担由于质量问题给</w:t>
      </w:r>
      <w:r>
        <w:rPr>
          <w:rFonts w:hint="eastAsia" w:ascii="Times New Roman" w:hAnsi="Times New Roman" w:eastAsia="宋体" w:cs="Times New Roman"/>
          <w:lang w:eastAsia="zh-CN"/>
        </w:rPr>
        <w:t>甲方和</w:t>
      </w:r>
      <w:r>
        <w:rPr>
          <w:rFonts w:hint="eastAsia" w:ascii="Times New Roman" w:hAnsi="Times New Roman" w:eastAsia="宋体" w:cs="Times New Roman"/>
        </w:rPr>
        <w:t>第三方造成损害的赔偿责任。</w:t>
      </w:r>
    </w:p>
    <w:p>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b/>
        </w:rPr>
      </w:pPr>
      <w:r>
        <w:rPr>
          <w:rFonts w:hint="eastAsia"/>
          <w:b/>
        </w:rPr>
        <w:t>第八条 不可抗力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rPr>
      </w:pPr>
      <w:r>
        <w:rPr>
          <w:rFonts w:hint="eastAsia"/>
        </w:rPr>
        <w:t>乙任何一方由于不可抗力原因不能履行合同时，应及时向对方通报不能履行</w:t>
      </w:r>
      <w:r>
        <w:rPr>
          <w:rFonts w:hint="eastAsia"/>
          <w:lang w:eastAsia="zh-CN"/>
        </w:rPr>
        <w:t>的</w:t>
      </w:r>
      <w:r>
        <w:rPr>
          <w:rFonts w:hint="eastAsia"/>
        </w:rPr>
        <w:t>理由，以减轻可能给对方造成的损失。</w:t>
      </w:r>
    </w:p>
    <w:p>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b/>
        </w:rPr>
      </w:pPr>
      <w:r>
        <w:rPr>
          <w:rFonts w:hint="eastAsia"/>
          <w:b/>
        </w:rPr>
        <w:t>第九条 争议解决方法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甲、乙方</w:t>
      </w:r>
      <w:r>
        <w:rPr>
          <w:rFonts w:hint="default"/>
          <w:lang w:val="en-US" w:eastAsia="zh-CN"/>
        </w:rPr>
        <w:t>因履行合同</w:t>
      </w:r>
      <w:r>
        <w:rPr>
          <w:rFonts w:hint="eastAsia"/>
          <w:lang w:val="en-US" w:eastAsia="zh-CN"/>
        </w:rPr>
        <w:t>发生争议时，应友好协商，如协商未果，应向甲方所在地人民法院提起诉讼。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b/>
        </w:rPr>
      </w:pPr>
      <w:r>
        <w:rPr>
          <w:rFonts w:hint="eastAsia"/>
          <w:b/>
        </w:rPr>
        <w:t>第十条 合同附件</w:t>
      </w:r>
    </w:p>
    <w:p>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rPr>
      </w:pPr>
      <w:r>
        <w:rPr>
          <w:rFonts w:hint="eastAsia"/>
        </w:rPr>
        <w:t>合同附件是本合同不可分割的组成部分，与合同具有同等法律效力。本合同附件包括：配置清单、技术标准、设备技术说明、招标文件。</w:t>
      </w:r>
    </w:p>
    <w:p>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rPr>
      </w:pPr>
      <w:r>
        <w:rPr>
          <w:rFonts w:hint="eastAsia"/>
          <w:b/>
        </w:rPr>
        <w:t xml:space="preserve">第十一条 </w:t>
      </w:r>
      <w:r>
        <w:rPr>
          <w:rFonts w:hint="eastAsia"/>
        </w:rPr>
        <w:t>甲方招标文件、乙方投标文件及乙方投标最终报价单附属合同均为合同一部分。</w:t>
      </w:r>
    </w:p>
    <w:p>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b/>
        </w:rPr>
      </w:pPr>
      <w:r>
        <w:rPr>
          <w:rFonts w:hint="eastAsia"/>
          <w:b/>
        </w:rPr>
        <w:t>第十二条 其他</w:t>
      </w:r>
    </w:p>
    <w:p>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rPr>
      </w:pPr>
      <w:r>
        <w:rPr>
          <w:rFonts w:hint="eastAsia"/>
        </w:rPr>
        <w:t>本合同未尽事宜，有甲乙双方另行签订补充协议，补充协议是本合同的组成部分，本合同具有同等法律效力。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rPr>
      </w:pPr>
      <w:r>
        <w:rPr>
          <w:rFonts w:hint="eastAsia"/>
        </w:rPr>
        <w:t>本合同一式</w:t>
      </w:r>
      <w:r>
        <w:rPr>
          <w:rFonts w:hint="eastAsia"/>
          <w:lang w:val="en-US" w:eastAsia="zh-CN"/>
        </w:rPr>
        <w:t>3</w:t>
      </w:r>
      <w:r>
        <w:rPr>
          <w:rFonts w:hint="eastAsia"/>
        </w:rPr>
        <w:t>份，甲方执</w:t>
      </w:r>
      <w:r>
        <w:rPr>
          <w:rFonts w:hint="eastAsia"/>
          <w:lang w:val="en-US" w:eastAsia="zh-CN"/>
        </w:rPr>
        <w:t>2</w:t>
      </w:r>
      <w:r>
        <w:rPr>
          <w:rFonts w:hint="eastAsia"/>
        </w:rPr>
        <w:t>份，乙方执</w:t>
      </w:r>
      <w:r>
        <w:rPr>
          <w:rFonts w:hint="eastAsia"/>
          <w:lang w:val="en-US" w:eastAsia="zh-CN"/>
        </w:rPr>
        <w:t>1</w:t>
      </w:r>
      <w:r>
        <w:rPr>
          <w:rFonts w:hint="eastAsia"/>
        </w:rPr>
        <w:t>份。自双方签约代表签字、盖章之日起生效。</w:t>
      </w:r>
    </w:p>
    <w:p>
      <w:pPr>
        <w:ind w:firstLine="435"/>
        <w:rPr>
          <w:rFonts w:hint="eastAsia"/>
        </w:rPr>
      </w:pPr>
    </w:p>
    <w:p>
      <w:pPr>
        <w:ind w:firstLine="435"/>
        <w:rPr>
          <w:rFonts w:hint="eastAsia"/>
        </w:rPr>
      </w:pPr>
      <w:r>
        <w:rPr>
          <w:rFonts w:hint="eastAsia"/>
        </w:rPr>
        <w:t>甲方（盖章）：                                         乙方（盖章）：</w:t>
      </w:r>
    </w:p>
    <w:p>
      <w:pPr>
        <w:ind w:firstLine="435"/>
        <w:rPr>
          <w:rFonts w:hint="eastAsia"/>
        </w:rPr>
      </w:pPr>
    </w:p>
    <w:p>
      <w:pPr>
        <w:ind w:firstLine="435"/>
        <w:rPr>
          <w:rFonts w:hint="eastAsia"/>
        </w:rPr>
      </w:pPr>
      <w:r>
        <w:rPr>
          <w:rFonts w:hint="eastAsia"/>
        </w:rPr>
        <w:t xml:space="preserve">签约代表：      </w:t>
      </w:r>
      <w:r>
        <w:rPr>
          <w:rFonts w:hint="eastAsia"/>
          <w:lang w:val="en-US" w:eastAsia="zh-CN"/>
        </w:rPr>
        <w:t xml:space="preserve">                                     </w:t>
      </w:r>
      <w:r>
        <w:rPr>
          <w:rFonts w:hint="eastAsia"/>
        </w:rPr>
        <w:t xml:space="preserve"> 签约代表：</w:t>
      </w:r>
    </w:p>
    <w:p>
      <w:pPr>
        <w:ind w:firstLine="435"/>
        <w:rPr>
          <w:rFonts w:hint="default" w:eastAsia="宋体"/>
          <w:lang w:val="en-US" w:eastAsia="zh-CN"/>
        </w:rPr>
      </w:pPr>
    </w:p>
    <w:p>
      <w:pPr>
        <w:ind w:firstLine="435"/>
        <w:rPr>
          <w:rFonts w:hint="eastAsia"/>
        </w:rPr>
      </w:pPr>
      <w:r>
        <w:rPr>
          <w:rFonts w:hint="eastAsia"/>
        </w:rPr>
        <w:t xml:space="preserve">                                     </w:t>
      </w:r>
    </w:p>
    <w:p>
      <w:pPr>
        <w:ind w:firstLine="315" w:firstLineChars="150"/>
        <w:rPr>
          <w:rFonts w:hint="eastAsia"/>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70D7B"/>
    <w:multiLevelType w:val="multilevel"/>
    <w:tmpl w:val="12C70D7B"/>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46461C0F"/>
    <w:multiLevelType w:val="multilevel"/>
    <w:tmpl w:val="46461C0F"/>
    <w:lvl w:ilvl="0" w:tentative="0">
      <w:start w:val="1"/>
      <w:numFmt w:val="ideographTraditional"/>
      <w:lvlText w:val="%1、"/>
      <w:lvlJc w:val="left"/>
      <w:pPr>
        <w:tabs>
          <w:tab w:val="left" w:pos="855"/>
        </w:tabs>
        <w:ind w:left="855" w:hanging="42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ZmI2NWM2ZmQ2Y2VmYzQyMjdkMThkMGIxMDg1YjkifQ=="/>
  </w:docVars>
  <w:rsids>
    <w:rsidRoot w:val="721B4DDE"/>
    <w:rsid w:val="721B4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2026-04-22T03:53:00Z</dcterms:created>
  <dc:creator>河南省伟信招标</dc:creator>
  <cp:lastModifiedBy>河南省伟信招标</cp:lastModifiedBy>
  <dcterms:modified xsi:type="dcterms:W3CDTF">2026-04-22T03:54:31Z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0C3E77E393DE443EAC4E2DF487B5BE1F_11</vt:lpwstr>
  </property>
</Properties>
</file>